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p>
    <w:tbl>
      <w:tblPr>
        <w:tblW w:type="dxa" w:w="9600"/>
        <w:tblBorders>
          <w:top w:val="none"/>
          <w:left w:val="none"/>
          <w:bottom w:val="none"/>
          <w:right w:val="none"/>
          <w:insideH w:val="none"/>
          <w:insideV w:val="none"/>
        </w:tblBorders>
      </w:tblPr>
      <w:tblGrid>
        <w:gridCol w:w="9600"/>
      </w:tblGrid>
      <w:tr>
        <w:tc>
          <w:tcPr>
            <w:tcW w:type="dxa" w:w="9600"/>
            <w:shd w:fill="1F3864" w:color="auto" w:val="clear"/>
            <w:tcMar>
              <w:top w:type="dxa" w:w="400"/>
              <w:left w:type="dxa" w:w="340"/>
              <w:bottom w:type="dxa" w:w="400"/>
              <w:right w:type="dxa" w:w="340"/>
            </w:tcMar>
          </w:tcPr>
          <w:p>
            <w:pPr>
              <w:spacing w:after="300" w:line="300"/>
              <w:jc w:val="left"/>
            </w:pPr>
            <w:r>
              <w:rPr>
                <w:rFonts w:ascii="Calibri" w:cs="Calibri" w:eastAsia="Calibri" w:hAnsi="Calibri"/>
                <w:b/>
                <w:bCs/>
                <w:color w:val="FFFFFF"/>
                <w:sz w:val="26"/>
                <w:szCs w:val="26"/>
              </w:rPr>
              <w:t xml:space="preserve">TRANSPORTES ARAYA</w:t>
            </w:r>
          </w:p>
          <w:p>
            <w:pPr>
              <w:spacing w:after="240" w:line="300"/>
              <w:jc w:val="left"/>
            </w:pPr>
            <w:r>
              <w:rPr>
                <w:rFonts w:ascii="Calibri" w:cs="Calibri" w:eastAsia="Calibri" w:hAnsi="Calibri"/>
                <w:b/>
                <w:bCs/>
                <w:color w:val="FFFFFF"/>
                <w:sz w:val="52"/>
                <w:szCs w:val="52"/>
              </w:rPr>
              <w:t xml:space="preserve">Plan de previsión y priorización de pagos</w:t>
            </w:r>
          </w:p>
          <w:p>
            <w:pPr>
              <w:spacing w:after="0" w:line="300"/>
              <w:jc w:val="left"/>
            </w:pPr>
            <w:r>
              <w:rPr>
                <w:rFonts w:ascii="Calibri" w:cs="Calibri" w:eastAsia="Calibri" w:hAnsi="Calibri"/>
                <w:color w:val="DEEAF6"/>
                <w:sz w:val="24"/>
                <w:szCs w:val="24"/>
              </w:rPr>
              <w:t xml:space="preserve">Diagnóstico económico-financiero y hoja de ruta para la gestión de la tesorería y de la deuda con proveedores</w:t>
            </w:r>
          </w:p>
        </w:tc>
      </w:tr>
    </w:tbl>
    <w:p>
      <w:pPr>
        <w:spacing w:after="700"/>
      </w:pPr>
    </w:p>
    <w:tbl>
      <w:tblPr>
        <w:tblW w:type="dxa" w:w="9600"/>
        <w:tblBorders>
          <w:top w:val="none"/>
          <w:left w:val="none"/>
          <w:bottom w:val="none"/>
          <w:right w:val="none"/>
          <w:insideH w:val="single" w:color="D9D9D9" w:sz="2"/>
          <w:insideV w:val="none"/>
        </w:tblBorders>
      </w:tblPr>
      <w:tblGrid>
        <w:gridCol w:w="2600"/>
        <w:gridCol w:w="7000"/>
      </w:tblGrid>
      <w:tr>
        <w:tc>
          <w:tcPr>
            <w:tcW w:type="dxa" w:w="2600"/>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sz w:val="20"/>
                <w:szCs w:val="20"/>
              </w:rPr>
              <w:t xml:space="preserve">Preparado para</w:t>
            </w:r>
          </w:p>
        </w:tc>
        <w:tc>
          <w:tcPr>
            <w:tcW w:type="dxa" w:w="7000"/>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20"/>
                <w:szCs w:val="20"/>
              </w:rPr>
              <w:t xml:space="preserve">Jennifer — Dirección, Transportes Araya</w:t>
            </w:r>
          </w:p>
        </w:tc>
      </w:tr>
      <w:tr>
        <w:tc>
          <w:tcPr>
            <w:tcW w:type="dxa" w:w="2600"/>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sz w:val="20"/>
                <w:szCs w:val="20"/>
              </w:rPr>
              <w:t xml:space="preserve">Preparado por</w:t>
            </w:r>
          </w:p>
        </w:tc>
        <w:tc>
          <w:tcPr>
            <w:tcW w:type="dxa" w:w="7000"/>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20"/>
                <w:szCs w:val="20"/>
              </w:rPr>
              <w:t xml:space="preserve">Departamento de Administración</w:t>
            </w:r>
          </w:p>
        </w:tc>
      </w:tr>
      <w:tr>
        <w:tc>
          <w:tcPr>
            <w:tcW w:type="dxa" w:w="2600"/>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sz w:val="20"/>
                <w:szCs w:val="20"/>
              </w:rPr>
              <w:t xml:space="preserve">Fecha</w:t>
            </w:r>
          </w:p>
        </w:tc>
        <w:tc>
          <w:tcPr>
            <w:tcW w:type="dxa" w:w="7000"/>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20"/>
                <w:szCs w:val="20"/>
              </w:rPr>
              <w:t xml:space="preserve">16 de septiembre de 2026</w:t>
            </w:r>
          </w:p>
        </w:tc>
      </w:tr>
      <w:tr>
        <w:tc>
          <w:tcPr>
            <w:tcW w:type="dxa" w:w="2600"/>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sz w:val="20"/>
                <w:szCs w:val="20"/>
              </w:rPr>
              <w:t xml:space="preserve">Clasificación</w:t>
            </w:r>
          </w:p>
        </w:tc>
        <w:tc>
          <w:tcPr>
            <w:tcW w:type="dxa" w:w="7000"/>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20"/>
                <w:szCs w:val="20"/>
              </w:rPr>
              <w:t xml:space="preserve">Documento interno y confidencial</w:t>
            </w:r>
          </w:p>
        </w:tc>
      </w:tr>
      <w:tr>
        <w:tc>
          <w:tcPr>
            <w:tcW w:type="dxa" w:w="2600"/>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sz w:val="20"/>
                <w:szCs w:val="20"/>
              </w:rPr>
              <w:t xml:space="preserve">Versión</w:t>
            </w:r>
          </w:p>
        </w:tc>
        <w:tc>
          <w:tcPr>
            <w:tcW w:type="dxa" w:w="7000"/>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20"/>
                <w:szCs w:val="20"/>
              </w:rPr>
              <w:t xml:space="preserve">1.0</w:t>
            </w:r>
          </w:p>
        </w:tc>
      </w:tr>
    </w:tbl>
    <w:p>
      <w:pPr>
        <w:spacing w:after="800"/>
      </w:pPr>
    </w:p>
    <w:tbl>
      <w:tblPr>
        <w:tblW w:type="dxa" w:w="9600"/>
        <w:tblBorders>
          <w:top w:val="single" w:color="DEEAF6" w:sz="2"/>
          <w:left w:val="single" w:color="2E74B5" w:sz="18"/>
          <w:bottom w:val="single" w:color="DEEAF6" w:sz="2"/>
          <w:right w:val="single" w:color="DEEAF6" w:sz="2"/>
          <w:insideH w:val="none"/>
          <w:insideV w:val="none"/>
        </w:tblBorders>
      </w:tblPr>
      <w:tblGrid>
        <w:gridCol w:w="9600"/>
      </w:tblGrid>
      <w:tr>
        <w:tc>
          <w:tcPr>
            <w:tcW w:type="dxa" w:w="9600"/>
            <w:shd w:fill="DEEAF6" w:color="auto" w:val="clear"/>
            <w:tcMar>
              <w:top w:type="dxa" w:w="140"/>
              <w:left w:type="dxa" w:w="200"/>
              <w:bottom w:type="dxa" w:w="140"/>
              <w:right w:type="dxa" w:w="200"/>
            </w:tcMar>
          </w:tcPr>
          <w:p>
            <w:pPr>
              <w:spacing w:after="80" w:before="40"/>
            </w:pPr>
            <w:r>
              <w:rPr>
                <w:rFonts w:ascii="Calibri" w:cs="Calibri" w:eastAsia="Calibri" w:hAnsi="Calibri"/>
                <w:b/>
                <w:bCs/>
                <w:i w:val="false"/>
                <w:iCs w:val="false"/>
                <w:color w:val="1F3864"/>
                <w:sz w:val="21"/>
                <w:szCs w:val="21"/>
              </w:rPr>
              <w:t xml:space="preserve">Aviso</w:t>
            </w:r>
          </w:p>
          <w:p>
            <w:pPr>
              <w:spacing w:after="60" w:line="252"/>
              <w:jc w:val="both"/>
            </w:pPr>
            <w:r>
              <w:rPr>
                <w:rFonts w:ascii="Calibri" w:cs="Calibri" w:eastAsia="Calibri" w:hAnsi="Calibri"/>
                <w:b w:val="false"/>
                <w:bCs w:val="false"/>
                <w:i w:val="false"/>
                <w:iCs w:val="false"/>
                <w:sz w:val="20"/>
                <w:szCs w:val="20"/>
              </w:rPr>
              <w:t xml:space="preserve">Documento de trabajo interno, elaborado con criterios de asesoramiento fiscal y contable. Las referencias normativas están actualizadas a la fecha de emisión. Las decisiones con efectos fiscales, laborales o concursales deben validarse con la asesoría o gestoría de la empresa y, cuando proceda, con un abogado mercantil. Las cifras de las tablas son plantillas a rellenar con los datos reales de la empresa.</w:t>
            </w:r>
          </w:p>
        </w:tc>
      </w:tr>
    </w:tbl>
    <w:p>
      <w:r>
        <w:br w:type="page"/>
      </w:r>
    </w:p>
    <w:p>
      <w:pPr>
        <w:pBdr>
          <w:bottom w:val="single" w:color="2E74B5" w:sz="8" w:space="6"/>
        </w:pBdr>
        <w:spacing w:after="240"/>
      </w:pPr>
      <w:r>
        <w:rPr>
          <w:rFonts w:ascii="Calibri" w:cs="Calibri" w:eastAsia="Calibri" w:hAnsi="Calibri"/>
          <w:b/>
          <w:bCs/>
          <w:color w:val="1F3864"/>
          <w:sz w:val="30"/>
          <w:szCs w:val="30"/>
        </w:rPr>
        <w:t xml:space="preserve">Índice</w:t>
      </w:r>
    </w:p>
    <w:sdt>
      <w:sdtPr>
        <w:alias w:val="Índice"/>
      </w:sdtPr>
      <w:sdtContent>
        <w:p>
          <w:r>
            <w:fldChar w:fldCharType="begin" w:dirty="true"/>
            <w:instrText xml:space="preserve">TOC \h \o "1-2"</w:instrText>
            <w:fldChar w:fldCharType="separate"/>
          </w:r>
        </w:p>
        <w:p>
          <w:r>
            <w:fldChar w:fldCharType="end"/>
          </w:r>
        </w:p>
      </w:sdtContent>
    </w:sdt>
    <w:p>
      <w:pPr>
        <w:pStyle w:val="Heading1"/>
        <w:pBdr>
          <w:bottom w:val="single" w:color="2E74B5" w:sz="8" w:space="6"/>
        </w:pBdr>
        <w:spacing w:after="180" w:before="240"/>
      </w:pPr>
      <w:r>
        <w:rPr>
          <w:rFonts w:ascii="Calibri" w:cs="Calibri" w:eastAsia="Calibri" w:hAnsi="Calibri"/>
          <w:b/>
          <w:bCs/>
          <w:color w:val="1F3864"/>
          <w:sz w:val="30"/>
          <w:szCs w:val="30"/>
        </w:rPr>
        <w:t xml:space="preserve">1. Resumen ejecutivo</w:t>
      </w:r>
    </w:p>
    <w:p>
      <w:pPr>
        <w:spacing w:after="120" w:line="264"/>
        <w:jc w:val="both"/>
      </w:pPr>
      <w:r>
        <w:rPr>
          <w:rFonts w:ascii="Calibri" w:cs="Calibri" w:eastAsia="Calibri" w:hAnsi="Calibri"/>
          <w:b w:val="false"/>
          <w:bCs w:val="false"/>
          <w:i w:val="false"/>
          <w:iCs w:val="false"/>
          <w:sz w:val="21"/>
          <w:szCs w:val="21"/>
        </w:rPr>
        <w:t xml:space="preserve">Transportes Araya atraviesa una </w:t>
      </w:r>
      <w:r>
        <w:rPr>
          <w:rFonts w:ascii="Calibri" w:cs="Calibri" w:eastAsia="Calibri" w:hAnsi="Calibri"/>
          <w:b/>
          <w:bCs/>
          <w:i w:val="false"/>
          <w:iCs w:val="false"/>
          <w:sz w:val="21"/>
          <w:szCs w:val="21"/>
        </w:rPr>
        <w:t xml:space="preserve">tensión de tesorería</w:t>
      </w:r>
      <w:r>
        <w:rPr>
          <w:rFonts w:ascii="Calibri" w:cs="Calibri" w:eastAsia="Calibri" w:hAnsi="Calibri"/>
          <w:b w:val="false"/>
          <w:bCs w:val="false"/>
          <w:i w:val="false"/>
          <w:iCs w:val="false"/>
          <w:sz w:val="21"/>
          <w:szCs w:val="21"/>
        </w:rPr>
        <w:t xml:space="preserve">: la empresa tiene actividad y factura, pero el dinero no entra al ritmo al que hay que pagarlo. Eso se ha convertido, además, en un problema personal para la Dirección, que está absorbiendo la presión de los proveedores por vía telefónica, de forma continua y sin un proceso detrás.</w:t>
      </w:r>
    </w:p>
    <w:p>
      <w:pPr>
        <w:spacing w:after="120" w:line="264"/>
        <w:jc w:val="both"/>
      </w:pPr>
      <w:r>
        <w:rPr>
          <w:rFonts w:ascii="Calibri" w:cs="Calibri" w:eastAsia="Calibri" w:hAnsi="Calibri"/>
          <w:b w:val="false"/>
          <w:bCs w:val="false"/>
          <w:i w:val="false"/>
          <w:iCs w:val="false"/>
          <w:sz w:val="21"/>
          <w:szCs w:val="21"/>
        </w:rPr>
        <w:t xml:space="preserve">Este documento no es un análisis teórico: es un </w:t>
      </w:r>
      <w:r>
        <w:rPr>
          <w:rFonts w:ascii="Calibri" w:cs="Calibri" w:eastAsia="Calibri" w:hAnsi="Calibri"/>
          <w:b/>
          <w:bCs/>
          <w:i w:val="false"/>
          <w:iCs w:val="false"/>
          <w:sz w:val="21"/>
          <w:szCs w:val="21"/>
        </w:rPr>
        <w:t xml:space="preserve">plan de trabajo ejecutable en 30 días</w:t>
      </w:r>
      <w:r>
        <w:rPr>
          <w:rFonts w:ascii="Calibri" w:cs="Calibri" w:eastAsia="Calibri" w:hAnsi="Calibri"/>
          <w:b w:val="false"/>
          <w:bCs w:val="false"/>
          <w:i w:val="false"/>
          <w:iCs w:val="false"/>
          <w:sz w:val="21"/>
          <w:szCs w:val="21"/>
        </w:rPr>
        <w:t xml:space="preserve"> que persigue tres objetivos, en este orden:</w:t>
      </w:r>
    </w:p>
    <w:tbl>
      <w:tblPr>
        <w:tblW w:type="dxa" w:w="9600"/>
        <w:tblBorders>
          <w:top w:val="single" w:color="BFBFBF" w:sz="4"/>
          <w:left w:val="single" w:color="BFBFBF" w:sz="4"/>
          <w:bottom w:val="single" w:color="BFBFBF" w:sz="4"/>
          <w:right w:val="single" w:color="BFBFBF" w:sz="4"/>
          <w:insideH w:val="single" w:color="D9D9D9" w:sz="2"/>
          <w:insideV w:val="single" w:color="D9D9D9" w:sz="2"/>
        </w:tblBorders>
      </w:tblPr>
      <w:tblGrid>
        <w:gridCol w:w="2400"/>
        <w:gridCol w:w="5600"/>
        <w:gridCol w:w="1600"/>
      </w:tblGrid>
      <w:tr>
        <w:trPr>
          <w:tblHeader/>
        </w:trPr>
        <w:tc>
          <w:tcPr>
            <w:tcW w:type="dxa" w:w="2400"/>
            <w:shd w:fill="1F3864"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color w:val="FFFFFF"/>
                <w:sz w:val="19"/>
                <w:szCs w:val="19"/>
              </w:rPr>
              <w:t xml:space="preserve">Objetivo</w:t>
            </w:r>
          </w:p>
        </w:tc>
        <w:tc>
          <w:tcPr>
            <w:tcW w:type="dxa" w:w="5600"/>
            <w:shd w:fill="1F3864"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color w:val="FFFFFF"/>
                <w:sz w:val="19"/>
                <w:szCs w:val="19"/>
              </w:rPr>
              <w:t xml:space="preserve">Qué significa en la práctica</w:t>
            </w:r>
          </w:p>
        </w:tc>
        <w:tc>
          <w:tcPr>
            <w:tcW w:type="dxa" w:w="1600"/>
            <w:shd w:fill="1F3864"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color w:val="FFFFFF"/>
                <w:sz w:val="19"/>
                <w:szCs w:val="19"/>
              </w:rPr>
              <w:t xml:space="preserve">Plazo</w:t>
            </w:r>
          </w:p>
        </w:tc>
      </w:tr>
      <w:tr>
        <w:tc>
          <w:tcPr>
            <w:tcW w:type="dxa" w:w="2400"/>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sz w:val="19"/>
                <w:szCs w:val="19"/>
              </w:rPr>
              <w:t xml:space="preserve">1. Sacar a Jennifer de la línea de fuego</w:t>
            </w:r>
          </w:p>
        </w:tc>
        <w:tc>
          <w:tcPr>
            <w:tcW w:type="dxa" w:w="5600"/>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Los proveedores dejan de llamar a su móvil. Existe un canal único de administración, un mensaje único y un criterio de escalado. Jennifer solo interviene en los casos que realmente lo requieren.</w:t>
            </w:r>
          </w:p>
        </w:tc>
        <w:tc>
          <w:tcPr>
            <w:tcW w:type="dxa" w:w="1600"/>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72 horas</w:t>
            </w:r>
          </w:p>
        </w:tc>
      </w:tr>
      <w:tr>
        <w:tc>
          <w:tcPr>
            <w:tcW w:type="dxa" w:w="24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sz w:val="19"/>
                <w:szCs w:val="19"/>
              </w:rPr>
              <w:t xml:space="preserve">2. Saber exactamente dónde estamos</w:t>
            </w:r>
          </w:p>
        </w:tc>
        <w:tc>
          <w:tcPr>
            <w:tcW w:type="dxa" w:w="56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Cuatro inventarios (deuda con proveedores, cobros pendientes, deuda pública y laboral, caja y financiación) y un presupuesto de tesorería a 13 semanas.</w:t>
            </w:r>
          </w:p>
        </w:tc>
        <w:tc>
          <w:tcPr>
            <w:tcW w:type="dxa" w:w="16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5 días</w:t>
            </w:r>
          </w:p>
        </w:tc>
      </w:tr>
      <w:tr>
        <w:tc>
          <w:tcPr>
            <w:tcW w:type="dxa" w:w="2400"/>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sz w:val="19"/>
                <w:szCs w:val="19"/>
              </w:rPr>
              <w:t xml:space="preserve">3. Decidir con una regla, no con la presión</w:t>
            </w:r>
          </w:p>
        </w:tc>
        <w:tc>
          <w:tcPr>
            <w:tcW w:type="dxa" w:w="5600"/>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Matriz de criticidad de proveedores y escalera de prelación de pagos aprobada por Dirección. La lista de pagos semanal se propone sola; Jennifer la aprueba en 20 minutos.</w:t>
            </w:r>
          </w:p>
        </w:tc>
        <w:tc>
          <w:tcPr>
            <w:tcW w:type="dxa" w:w="1600"/>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30 días</w:t>
            </w:r>
          </w:p>
        </w:tc>
      </w:tr>
    </w:tbl>
    <w:p>
      <w:pPr>
        <w:spacing w:after="120"/>
      </w:pPr>
    </w:p>
    <w:p>
      <w:pPr>
        <w:pStyle w:val="Heading2"/>
        <w:spacing w:after="120" w:before="260"/>
      </w:pPr>
      <w:r>
        <w:rPr>
          <w:rFonts w:ascii="Calibri" w:cs="Calibri" w:eastAsia="Calibri" w:hAnsi="Calibri"/>
          <w:b/>
          <w:bCs/>
          <w:color w:val="2E74B5"/>
          <w:sz w:val="24"/>
          <w:szCs w:val="24"/>
        </w:rPr>
        <w:t xml:space="preserve">Las tres conclusiones de partida</w:t>
      </w:r>
    </w:p>
    <w:p>
      <w:pPr>
        <w:pStyle w:val="ListParagraph"/>
        <w:numPr>
          <w:ilvl w:val="0"/>
          <w:numId w:val="2"/>
        </w:numPr>
        <w:spacing w:after="70" w:line="264"/>
        <w:jc w:val="both"/>
      </w:pPr>
      <w:r>
        <w:rPr>
          <w:rFonts w:ascii="Calibri" w:cs="Calibri" w:eastAsia="Calibri" w:hAnsi="Calibri"/>
          <w:b/>
          <w:bCs/>
          <w:i w:val="false"/>
          <w:iCs w:val="false"/>
          <w:sz w:val="21"/>
          <w:szCs w:val="21"/>
        </w:rPr>
        <w:t xml:space="preserve">Hoy se está pagando al que más grita, no al que más importa.</w:t>
      </w:r>
      <w:r>
        <w:rPr>
          <w:rFonts w:ascii="Calibri" w:cs="Calibri" w:eastAsia="Calibri" w:hAnsi="Calibri"/>
          <w:b w:val="false"/>
          <w:bCs w:val="false"/>
          <w:i w:val="false"/>
          <w:iCs w:val="false"/>
          <w:sz w:val="21"/>
          <w:szCs w:val="21"/>
        </w:rPr>
        <w:t xml:space="preserve"> Esto es lo peor que le puede pasar a una empresa en tensión: enseña a los proveedores que la presión funciona, y garantiza que las llamadas aumenten. Hay que sustituir la presión por una regla escrita.</w:t>
      </w:r>
    </w:p>
    <w:p>
      <w:pPr>
        <w:pStyle w:val="ListParagraph"/>
        <w:numPr>
          <w:ilvl w:val="0"/>
          <w:numId w:val="2"/>
        </w:numPr>
        <w:spacing w:after="70" w:line="264"/>
        <w:jc w:val="both"/>
      </w:pPr>
      <w:r>
        <w:rPr>
          <w:rFonts w:ascii="Calibri" w:cs="Calibri" w:eastAsia="Calibri" w:hAnsi="Calibri"/>
          <w:b/>
          <w:bCs/>
          <w:i w:val="false"/>
          <w:iCs w:val="false"/>
          <w:sz w:val="21"/>
          <w:szCs w:val="21"/>
        </w:rPr>
        <w:t xml:space="preserve">Nadie puede decidir a quién se paga sin tener la foto completa.</w:t>
      </w:r>
      <w:r>
        <w:rPr>
          <w:rFonts w:ascii="Calibri" w:cs="Calibri" w:eastAsia="Calibri" w:hAnsi="Calibri"/>
          <w:b w:val="false"/>
          <w:bCs w:val="false"/>
          <w:i w:val="false"/>
          <w:iCs w:val="false"/>
          <w:sz w:val="21"/>
          <w:szCs w:val="21"/>
        </w:rPr>
        <w:t xml:space="preserve"> Ahora mismo no la tenemos en un único sitio. Sin el inventario de deuda y sin la proyección de caja, cualquier decisión de pago es una apuesta.</w:t>
      </w:r>
    </w:p>
    <w:p>
      <w:pPr>
        <w:pStyle w:val="ListParagraph"/>
        <w:numPr>
          <w:ilvl w:val="0"/>
          <w:numId w:val="2"/>
        </w:numPr>
        <w:spacing w:after="70" w:line="264"/>
        <w:jc w:val="both"/>
      </w:pPr>
      <w:r>
        <w:rPr>
          <w:rFonts w:ascii="Calibri" w:cs="Calibri" w:eastAsia="Calibri" w:hAnsi="Calibri"/>
          <w:b/>
          <w:bCs/>
          <w:i w:val="false"/>
          <w:iCs w:val="false"/>
          <w:sz w:val="21"/>
          <w:szCs w:val="21"/>
        </w:rPr>
        <w:t xml:space="preserve">El gasoil no es "un proveedor más": es la condición de existencia de la empresa.</w:t>
      </w:r>
      <w:r>
        <w:rPr>
          <w:rFonts w:ascii="Calibri" w:cs="Calibri" w:eastAsia="Calibri" w:hAnsi="Calibri"/>
          <w:b w:val="false"/>
          <w:bCs w:val="false"/>
          <w:i w:val="false"/>
          <w:iCs w:val="false"/>
          <w:sz w:val="21"/>
          <w:szCs w:val="21"/>
        </w:rPr>
        <w:t xml:space="preserve"> Sin gasoil no hay camiones, sin camiones no hay facturación y sin facturación no hay plan que valga. Su suministro no entra en la negociación: entra en el presupuesto, antes que casi todo lo demás.</w:t>
      </w:r>
    </w:p>
    <w:p>
      <w:pPr>
        <w:spacing w:after="120"/>
      </w:pPr>
    </w:p>
    <w:tbl>
      <w:tblPr>
        <w:tblW w:type="dxa" w:w="9600"/>
        <w:tblBorders>
          <w:top w:val="single" w:color="DEEAF6" w:sz="2"/>
          <w:left w:val="single" w:color="2E74B5" w:sz="18"/>
          <w:bottom w:val="single" w:color="DEEAF6" w:sz="2"/>
          <w:right w:val="single" w:color="DEEAF6" w:sz="2"/>
          <w:insideH w:val="none"/>
          <w:insideV w:val="none"/>
        </w:tblBorders>
      </w:tblPr>
      <w:tblGrid>
        <w:gridCol w:w="9600"/>
      </w:tblGrid>
      <w:tr>
        <w:tc>
          <w:tcPr>
            <w:tcW w:type="dxa" w:w="9600"/>
            <w:shd w:fill="DEEAF6" w:color="auto" w:val="clear"/>
            <w:tcMar>
              <w:top w:type="dxa" w:w="140"/>
              <w:left w:type="dxa" w:w="200"/>
              <w:bottom w:type="dxa" w:w="140"/>
              <w:right w:type="dxa" w:w="200"/>
            </w:tcMar>
          </w:tcPr>
          <w:p>
            <w:pPr>
              <w:spacing w:after="80" w:before="40"/>
            </w:pPr>
            <w:r>
              <w:rPr>
                <w:rFonts w:ascii="Calibri" w:cs="Calibri" w:eastAsia="Calibri" w:hAnsi="Calibri"/>
                <w:b/>
                <w:bCs/>
                <w:i w:val="false"/>
                <w:iCs w:val="false"/>
                <w:color w:val="1F3864"/>
                <w:sz w:val="21"/>
                <w:szCs w:val="21"/>
              </w:rPr>
              <w:t xml:space="preserve">El compromiso de este plan</w:t>
            </w:r>
          </w:p>
          <w:p>
            <w:pPr>
              <w:spacing w:after="60" w:line="252"/>
              <w:jc w:val="both"/>
            </w:pPr>
            <w:r>
              <w:rPr>
                <w:rFonts w:ascii="Calibri" w:cs="Calibri" w:eastAsia="Calibri" w:hAnsi="Calibri"/>
                <w:b w:val="false"/>
                <w:bCs w:val="false"/>
                <w:i w:val="false"/>
                <w:iCs w:val="false"/>
                <w:sz w:val="20"/>
                <w:szCs w:val="20"/>
              </w:rPr>
              <w:t xml:space="preserve">A los 30 días, Jennifer no recibe llamadas de cobro de proveedores. Recibe, cada lunes, una propuesta de pagos de una página, con la caja proyectada de las próximas 13 semanas y la lista de qué se paga esta semana y por qué. Su trabajo pasa de </w:t>
            </w:r>
            <w:r>
              <w:rPr>
                <w:rFonts w:ascii="Calibri" w:cs="Calibri" w:eastAsia="Calibri" w:hAnsi="Calibri"/>
                <w:b/>
                <w:bCs/>
                <w:i w:val="false"/>
                <w:iCs w:val="false"/>
                <w:sz w:val="20"/>
                <w:szCs w:val="20"/>
              </w:rPr>
              <w:t xml:space="preserve">aguantar llamadas</w:t>
            </w:r>
            <w:r>
              <w:rPr>
                <w:rFonts w:ascii="Calibri" w:cs="Calibri" w:eastAsia="Calibri" w:hAnsi="Calibri"/>
                <w:b w:val="false"/>
                <w:bCs w:val="false"/>
                <w:i w:val="false"/>
                <w:iCs w:val="false"/>
                <w:sz w:val="20"/>
                <w:szCs w:val="20"/>
              </w:rPr>
              <w:t xml:space="preserve"> a </w:t>
            </w:r>
            <w:r>
              <w:rPr>
                <w:rFonts w:ascii="Calibri" w:cs="Calibri" w:eastAsia="Calibri" w:hAnsi="Calibri"/>
                <w:b/>
                <w:bCs/>
                <w:i w:val="false"/>
                <w:iCs w:val="false"/>
                <w:sz w:val="20"/>
                <w:szCs w:val="20"/>
              </w:rPr>
              <w:t xml:space="preserve">aprobar decisiones</w:t>
            </w:r>
            <w:r>
              <w:rPr>
                <w:rFonts w:ascii="Calibri" w:cs="Calibri" w:eastAsia="Calibri" w:hAnsi="Calibri"/>
                <w:b w:val="false"/>
                <w:bCs w:val="false"/>
                <w:i w:val="false"/>
                <w:iCs w:val="false"/>
                <w:sz w:val="20"/>
                <w:szCs w:val="20"/>
              </w:rPr>
              <w:t xml:space="preserve">.</w:t>
            </w:r>
          </w:p>
        </w:tc>
      </w:tr>
    </w:tbl>
    <w:p>
      <w:pPr>
        <w:spacing w:after="120"/>
      </w:pPr>
    </w:p>
    <w:p>
      <w:pPr>
        <w:pStyle w:val="Heading2"/>
        <w:spacing w:after="120" w:before="260"/>
      </w:pPr>
      <w:r>
        <w:rPr>
          <w:rFonts w:ascii="Calibri" w:cs="Calibri" w:eastAsia="Calibri" w:hAnsi="Calibri"/>
          <w:b/>
          <w:bCs/>
          <w:color w:val="2E74B5"/>
          <w:sz w:val="24"/>
          <w:szCs w:val="24"/>
        </w:rPr>
        <w:t xml:space="preserve">Advertencia sobre el alcance de este documento</w:t>
      </w:r>
    </w:p>
    <w:p>
      <w:pPr>
        <w:spacing w:after="120" w:line="264"/>
        <w:jc w:val="both"/>
      </w:pPr>
      <w:r>
        <w:rPr>
          <w:rFonts w:ascii="Calibri" w:cs="Calibri" w:eastAsia="Calibri" w:hAnsi="Calibri"/>
          <w:b w:val="false"/>
          <w:bCs w:val="false"/>
          <w:i w:val="false"/>
          <w:iCs w:val="false"/>
          <w:sz w:val="21"/>
          <w:szCs w:val="21"/>
        </w:rPr>
        <w:t xml:space="preserve">Este informe está elaborado con criterios de asesoramiento fiscal y contable y tiene carácter </w:t>
      </w:r>
      <w:r>
        <w:rPr>
          <w:rFonts w:ascii="Calibri" w:cs="Calibri" w:eastAsia="Calibri" w:hAnsi="Calibri"/>
          <w:b/>
          <w:bCs/>
          <w:i w:val="false"/>
          <w:iCs w:val="false"/>
          <w:sz w:val="21"/>
          <w:szCs w:val="21"/>
        </w:rPr>
        <w:t xml:space="preserve">interno y orientativo</w:t>
      </w:r>
      <w:r>
        <w:rPr>
          <w:rFonts w:ascii="Calibri" w:cs="Calibri" w:eastAsia="Calibri" w:hAnsi="Calibri"/>
          <w:b w:val="false"/>
          <w:bCs w:val="false"/>
          <w:i w:val="false"/>
          <w:iCs w:val="false"/>
          <w:sz w:val="21"/>
          <w:szCs w:val="21"/>
        </w:rPr>
        <w:t xml:space="preserve">. Las referencias normativas están actualizadas a la fecha de emisión, pero las decisiones con efectos fiscales, laborales o concursales —muy especialmente las de los apartados 10 y 12— deben validarse con la asesoría o gestoría de la empresa y, cuando proceda, con un abogado mercantil. Las cifras que aparecen en las tablas son </w:t>
      </w:r>
      <w:r>
        <w:rPr>
          <w:rFonts w:ascii="Calibri" w:cs="Calibri" w:eastAsia="Calibri" w:hAnsi="Calibri"/>
          <w:b/>
          <w:bCs/>
          <w:i w:val="false"/>
          <w:iCs w:val="false"/>
          <w:sz w:val="21"/>
          <w:szCs w:val="21"/>
        </w:rPr>
        <w:t xml:space="preserve">plantillas a rellenar</w:t>
      </w:r>
      <w:r>
        <w:rPr>
          <w:rFonts w:ascii="Calibri" w:cs="Calibri" w:eastAsia="Calibri" w:hAnsi="Calibri"/>
          <w:b w:val="false"/>
          <w:bCs w:val="false"/>
          <w:i w:val="false"/>
          <w:iCs w:val="false"/>
          <w:sz w:val="21"/>
          <w:szCs w:val="21"/>
        </w:rPr>
        <w:t xml:space="preserve"> con los datos reales de la empresa: el valor del plan está en el método, no en los números de ejemplo.</w:t>
      </w:r>
    </w:p>
    <w:p>
      <w:pPr>
        <w:pStyle w:val="Heading1"/>
        <w:pageBreakBefore/>
        <w:pBdr>
          <w:bottom w:val="single" w:color="2E74B5" w:sz="8" w:space="6"/>
        </w:pBdr>
        <w:spacing w:after="180" w:before="240"/>
      </w:pPr>
      <w:r>
        <w:rPr>
          <w:rFonts w:ascii="Calibri" w:cs="Calibri" w:eastAsia="Calibri" w:hAnsi="Calibri"/>
          <w:b/>
          <w:bCs/>
          <w:color w:val="1F3864"/>
          <w:sz w:val="30"/>
          <w:szCs w:val="30"/>
        </w:rPr>
        <w:t xml:space="preserve">2. Cómo usar este documento</w:t>
      </w:r>
    </w:p>
    <w:p>
      <w:pPr>
        <w:spacing w:after="120" w:line="264"/>
        <w:jc w:val="both"/>
      </w:pPr>
      <w:r>
        <w:rPr>
          <w:rFonts w:ascii="Calibri" w:cs="Calibri" w:eastAsia="Calibri" w:hAnsi="Calibri"/>
          <w:b w:val="false"/>
          <w:bCs w:val="false"/>
          <w:i w:val="false"/>
          <w:iCs w:val="false"/>
          <w:sz w:val="21"/>
          <w:szCs w:val="21"/>
        </w:rPr>
        <w:t xml:space="preserve">El plan se despliega en seis fases. Cada una tiene un responsable, un plazo y un entregable concreto. Ninguna fase depende de contratar nada ni de tener el nuevo sistema terminado: todo se puede arrancar con una hoja de cálculo esta misma semana.</w:t>
      </w:r>
    </w:p>
    <w:tbl>
      <w:tblPr>
        <w:tblW w:type="dxa" w:w="9600"/>
        <w:tblBorders>
          <w:top w:val="single" w:color="BFBFBF" w:sz="4"/>
          <w:left w:val="single" w:color="BFBFBF" w:sz="4"/>
          <w:bottom w:val="single" w:color="BFBFBF" w:sz="4"/>
          <w:right w:val="single" w:color="BFBFBF" w:sz="4"/>
          <w:insideH w:val="single" w:color="D9D9D9" w:sz="2"/>
          <w:insideV w:val="single" w:color="D9D9D9" w:sz="2"/>
        </w:tblBorders>
      </w:tblPr>
      <w:tblGrid>
        <w:gridCol w:w="900"/>
        <w:gridCol w:w="3500"/>
        <w:gridCol w:w="1700"/>
        <w:gridCol w:w="1100"/>
        <w:gridCol w:w="2400"/>
      </w:tblGrid>
      <w:tr>
        <w:trPr>
          <w:tblHeader/>
        </w:trPr>
        <w:tc>
          <w:tcPr>
            <w:tcW w:type="dxa" w:w="900"/>
            <w:shd w:fill="1F3864"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color w:val="FFFFFF"/>
                <w:sz w:val="19"/>
                <w:szCs w:val="19"/>
              </w:rPr>
              <w:t xml:space="preserve">Fase</w:t>
            </w:r>
          </w:p>
        </w:tc>
        <w:tc>
          <w:tcPr>
            <w:tcW w:type="dxa" w:w="3500"/>
            <w:shd w:fill="1F3864"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color w:val="FFFFFF"/>
                <w:sz w:val="19"/>
                <w:szCs w:val="19"/>
              </w:rPr>
              <w:t xml:space="preserve">Qué se hace</w:t>
            </w:r>
          </w:p>
        </w:tc>
        <w:tc>
          <w:tcPr>
            <w:tcW w:type="dxa" w:w="1700"/>
            <w:shd w:fill="1F3864"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color w:val="FFFFFF"/>
                <w:sz w:val="19"/>
                <w:szCs w:val="19"/>
              </w:rPr>
              <w:t xml:space="preserve">Responsable</w:t>
            </w:r>
          </w:p>
        </w:tc>
        <w:tc>
          <w:tcPr>
            <w:tcW w:type="dxa" w:w="1100"/>
            <w:shd w:fill="1F3864"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color w:val="FFFFFF"/>
                <w:sz w:val="19"/>
                <w:szCs w:val="19"/>
              </w:rPr>
              <w:t xml:space="preserve">Plazo</w:t>
            </w:r>
          </w:p>
        </w:tc>
        <w:tc>
          <w:tcPr>
            <w:tcW w:type="dxa" w:w="2400"/>
            <w:shd w:fill="1F3864"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color w:val="FFFFFF"/>
                <w:sz w:val="19"/>
                <w:szCs w:val="19"/>
              </w:rPr>
              <w:t xml:space="preserve">Entregable</w:t>
            </w:r>
          </w:p>
        </w:tc>
      </w:tr>
      <w:tr>
        <w:tc>
          <w:tcPr>
            <w:tcW w:type="dxa" w:w="900"/>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sz w:val="19"/>
                <w:szCs w:val="19"/>
              </w:rPr>
              <w:t xml:space="preserve">Fase 0</w:t>
            </w:r>
          </w:p>
        </w:tc>
        <w:tc>
          <w:tcPr>
            <w:tcW w:type="dxa" w:w="3500"/>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Protocolo de comunicación con proveedores. Se corta el canal directo con Dirección.</w:t>
            </w:r>
          </w:p>
        </w:tc>
        <w:tc>
          <w:tcPr>
            <w:tcW w:type="dxa" w:w="1700"/>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Administración</w:t>
            </w:r>
          </w:p>
        </w:tc>
        <w:tc>
          <w:tcPr>
            <w:tcW w:type="dxa" w:w="1100"/>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72 h</w:t>
            </w:r>
          </w:p>
        </w:tc>
        <w:tc>
          <w:tcPr>
            <w:tcW w:type="dxa" w:w="2400"/>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Protocolo + email a proveedores</w:t>
            </w:r>
          </w:p>
        </w:tc>
      </w:tr>
      <w:tr>
        <w:tc>
          <w:tcPr>
            <w:tcW w:type="dxa" w:w="9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sz w:val="19"/>
                <w:szCs w:val="19"/>
              </w:rPr>
              <w:t xml:space="preserve">Fase 1</w:t>
            </w:r>
          </w:p>
        </w:tc>
        <w:tc>
          <w:tcPr>
            <w:tcW w:type="dxa" w:w="35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Los cuatro inventarios: deuda, cobros, deuda pública, caja y financiación.</w:t>
            </w:r>
          </w:p>
        </w:tc>
        <w:tc>
          <w:tcPr>
            <w:tcW w:type="dxa" w:w="17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Administración + Gestoría</w:t>
            </w:r>
          </w:p>
        </w:tc>
        <w:tc>
          <w:tcPr>
            <w:tcW w:type="dxa" w:w="11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Días 1–5</w:t>
            </w:r>
          </w:p>
        </w:tc>
        <w:tc>
          <w:tcPr>
            <w:tcW w:type="dxa" w:w="24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Hoja de situación</w:t>
            </w:r>
          </w:p>
        </w:tc>
      </w:tr>
      <w:tr>
        <w:tc>
          <w:tcPr>
            <w:tcW w:type="dxa" w:w="900"/>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sz w:val="19"/>
                <w:szCs w:val="19"/>
              </w:rPr>
              <w:t xml:space="preserve">Fase 2</w:t>
            </w:r>
          </w:p>
        </w:tc>
        <w:tc>
          <w:tcPr>
            <w:tcW w:type="dxa" w:w="3500"/>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Clasificación de proveedores por criticidad (semáforo).</w:t>
            </w:r>
          </w:p>
        </w:tc>
        <w:tc>
          <w:tcPr>
            <w:tcW w:type="dxa" w:w="1700"/>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Administración, valida Dirección</w:t>
            </w:r>
          </w:p>
        </w:tc>
        <w:tc>
          <w:tcPr>
            <w:tcW w:type="dxa" w:w="1100"/>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Días 5–7</w:t>
            </w:r>
          </w:p>
        </w:tc>
        <w:tc>
          <w:tcPr>
            <w:tcW w:type="dxa" w:w="2400"/>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Matriz de criticidad</w:t>
            </w:r>
          </w:p>
        </w:tc>
      </w:tr>
      <w:tr>
        <w:tc>
          <w:tcPr>
            <w:tcW w:type="dxa" w:w="9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sz w:val="19"/>
                <w:szCs w:val="19"/>
              </w:rPr>
              <w:t xml:space="preserve">Fase 3</w:t>
            </w:r>
          </w:p>
        </w:tc>
        <w:tc>
          <w:tcPr>
            <w:tcW w:type="dxa" w:w="35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Reglas de prelación de pagos, aprobadas por Dirección.</w:t>
            </w:r>
          </w:p>
        </w:tc>
        <w:tc>
          <w:tcPr>
            <w:tcW w:type="dxa" w:w="17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Dirección</w:t>
            </w:r>
          </w:p>
        </w:tc>
        <w:tc>
          <w:tcPr>
            <w:tcW w:type="dxa" w:w="11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Día 7</w:t>
            </w:r>
          </w:p>
        </w:tc>
        <w:tc>
          <w:tcPr>
            <w:tcW w:type="dxa" w:w="24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Política de pagos firmada</w:t>
            </w:r>
          </w:p>
        </w:tc>
      </w:tr>
      <w:tr>
        <w:tc>
          <w:tcPr>
            <w:tcW w:type="dxa" w:w="900"/>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sz w:val="19"/>
                <w:szCs w:val="19"/>
              </w:rPr>
              <w:t xml:space="preserve">Fase 4</w:t>
            </w:r>
          </w:p>
        </w:tc>
        <w:tc>
          <w:tcPr>
            <w:tcW w:type="dxa" w:w="3500"/>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Presupuesto de tesorería a 13 semanas, con actualización semanal.</w:t>
            </w:r>
          </w:p>
        </w:tc>
        <w:tc>
          <w:tcPr>
            <w:tcW w:type="dxa" w:w="1700"/>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Administración</w:t>
            </w:r>
          </w:p>
        </w:tc>
        <w:tc>
          <w:tcPr>
            <w:tcW w:type="dxa" w:w="1100"/>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Días 7–10</w:t>
            </w:r>
          </w:p>
        </w:tc>
        <w:tc>
          <w:tcPr>
            <w:tcW w:type="dxa" w:w="2400"/>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Proyección 13 semanas</w:t>
            </w:r>
          </w:p>
        </w:tc>
      </w:tr>
      <w:tr>
        <w:tc>
          <w:tcPr>
            <w:tcW w:type="dxa" w:w="9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sz w:val="19"/>
                <w:szCs w:val="19"/>
              </w:rPr>
              <w:t xml:space="preserve">Fase 5</w:t>
            </w:r>
          </w:p>
        </w:tc>
        <w:tc>
          <w:tcPr>
            <w:tcW w:type="dxa" w:w="35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Negociación ordenada con proveedores y palancas de caja.</w:t>
            </w:r>
          </w:p>
        </w:tc>
        <w:tc>
          <w:tcPr>
            <w:tcW w:type="dxa" w:w="17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Administración; casos grandes, Dirección</w:t>
            </w:r>
          </w:p>
        </w:tc>
        <w:tc>
          <w:tcPr>
            <w:tcW w:type="dxa" w:w="11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Días 10–30</w:t>
            </w:r>
          </w:p>
        </w:tc>
        <w:tc>
          <w:tcPr>
            <w:tcW w:type="dxa" w:w="24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Acuerdos por escrito</w:t>
            </w:r>
          </w:p>
        </w:tc>
      </w:tr>
      <w:tr>
        <w:tc>
          <w:tcPr>
            <w:tcW w:type="dxa" w:w="900"/>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sz w:val="19"/>
                <w:szCs w:val="19"/>
              </w:rPr>
              <w:t xml:space="preserve">Régimen</w:t>
            </w:r>
          </w:p>
        </w:tc>
        <w:tc>
          <w:tcPr>
            <w:tcW w:type="dxa" w:w="3500"/>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Comité de pagos semanal de 30 minutos y cuadro de mando.</w:t>
            </w:r>
          </w:p>
        </w:tc>
        <w:tc>
          <w:tcPr>
            <w:tcW w:type="dxa" w:w="1700"/>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Dirección + Administración</w:t>
            </w:r>
          </w:p>
        </w:tc>
        <w:tc>
          <w:tcPr>
            <w:tcW w:type="dxa" w:w="1100"/>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Cada lunes</w:t>
            </w:r>
          </w:p>
        </w:tc>
        <w:tc>
          <w:tcPr>
            <w:tcW w:type="dxa" w:w="2400"/>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Lista de pagos aprobada</w:t>
            </w:r>
          </w:p>
        </w:tc>
      </w:tr>
    </w:tbl>
    <w:p>
      <w:pPr>
        <w:pStyle w:val="Heading1"/>
        <w:pageBreakBefore/>
        <w:pBdr>
          <w:bottom w:val="single" w:color="2E74B5" w:sz="8" w:space="6"/>
        </w:pBdr>
        <w:spacing w:after="180" w:before="240"/>
      </w:pPr>
      <w:r>
        <w:rPr>
          <w:rFonts w:ascii="Calibri" w:cs="Calibri" w:eastAsia="Calibri" w:hAnsi="Calibri"/>
          <w:b/>
          <w:bCs/>
          <w:color w:val="1F3864"/>
          <w:sz w:val="30"/>
          <w:szCs w:val="30"/>
        </w:rPr>
        <w:t xml:space="preserve">3. Diagnóstico: qué está pasando realmente</w:t>
      </w:r>
    </w:p>
    <w:p>
      <w:pPr>
        <w:pStyle w:val="Heading2"/>
        <w:spacing w:after="120" w:before="260"/>
      </w:pPr>
      <w:r>
        <w:rPr>
          <w:rFonts w:ascii="Calibri" w:cs="Calibri" w:eastAsia="Calibri" w:hAnsi="Calibri"/>
          <w:b/>
          <w:bCs/>
          <w:color w:val="2E74B5"/>
          <w:sz w:val="24"/>
          <w:szCs w:val="24"/>
        </w:rPr>
        <w:t xml:space="preserve">3.1. Los síntomas y su lectura técnica</w:t>
      </w:r>
    </w:p>
    <w:p>
      <w:pPr>
        <w:spacing w:after="120" w:line="264"/>
        <w:jc w:val="both"/>
      </w:pPr>
      <w:r>
        <w:rPr>
          <w:rFonts w:ascii="Calibri" w:cs="Calibri" w:eastAsia="Calibri" w:hAnsi="Calibri"/>
          <w:b w:val="false"/>
          <w:bCs w:val="false"/>
          <w:i w:val="false"/>
          <w:iCs w:val="false"/>
          <w:sz w:val="21"/>
          <w:szCs w:val="21"/>
        </w:rPr>
        <w:t xml:space="preserve">Conviene traducir lo que está ocurriendo a lenguaje contable, porque cada síntoma apunta a un riesgo distinto y exige una respuesta distinta.</w:t>
      </w:r>
    </w:p>
    <w:tbl>
      <w:tblPr>
        <w:tblW w:type="dxa" w:w="9600"/>
        <w:tblBorders>
          <w:top w:val="single" w:color="BFBFBF" w:sz="4"/>
          <w:left w:val="single" w:color="BFBFBF" w:sz="4"/>
          <w:bottom w:val="single" w:color="BFBFBF" w:sz="4"/>
          <w:right w:val="single" w:color="BFBFBF" w:sz="4"/>
          <w:insideH w:val="single" w:color="D9D9D9" w:sz="2"/>
          <w:insideV w:val="single" w:color="D9D9D9" w:sz="2"/>
        </w:tblBorders>
      </w:tblPr>
      <w:tblGrid>
        <w:gridCol w:w="2300"/>
        <w:gridCol w:w="4000"/>
        <w:gridCol w:w="3300"/>
      </w:tblGrid>
      <w:tr>
        <w:trPr>
          <w:tblHeader/>
        </w:trPr>
        <w:tc>
          <w:tcPr>
            <w:tcW w:type="dxa" w:w="2300"/>
            <w:shd w:fill="1F3864"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color w:val="FFFFFF"/>
                <w:sz w:val="19"/>
                <w:szCs w:val="19"/>
              </w:rPr>
              <w:t xml:space="preserve">Lo que se observa</w:t>
            </w:r>
          </w:p>
        </w:tc>
        <w:tc>
          <w:tcPr>
            <w:tcW w:type="dxa" w:w="4000"/>
            <w:shd w:fill="1F3864"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color w:val="FFFFFF"/>
                <w:sz w:val="19"/>
                <w:szCs w:val="19"/>
              </w:rPr>
              <w:t xml:space="preserve">Lectura técnica</w:t>
            </w:r>
          </w:p>
        </w:tc>
        <w:tc>
          <w:tcPr>
            <w:tcW w:type="dxa" w:w="3300"/>
            <w:shd w:fill="1F3864"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color w:val="FFFFFF"/>
                <w:sz w:val="19"/>
                <w:szCs w:val="19"/>
              </w:rPr>
              <w:t xml:space="preserve">Riesgo real</w:t>
            </w:r>
          </w:p>
        </w:tc>
      </w:tr>
      <w:tr>
        <w:tc>
          <w:tcPr>
            <w:tcW w:type="dxa" w:w="2300"/>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Llamadas continuas de proveedores reclamando pago</w:t>
            </w:r>
          </w:p>
        </w:tc>
        <w:tc>
          <w:tcPr>
            <w:tcW w:type="dxa" w:w="4000"/>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Deuda comercial vencida con antigüedad creciente; el periodo medio de pago se ha alargado por encima de lo pactado.</w:t>
            </w:r>
          </w:p>
        </w:tc>
        <w:tc>
          <w:tcPr>
            <w:tcW w:type="dxa" w:w="3300"/>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Endurecimiento de condiciones: pago anticipado, retirada de crédito comercial.</w:t>
            </w:r>
          </w:p>
        </w:tc>
      </w:tr>
      <w:tr>
        <w:tc>
          <w:tcPr>
            <w:tcW w:type="dxa" w:w="23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Amenazas de cancelar el servicio</w:t>
            </w:r>
          </w:p>
        </w:tc>
        <w:tc>
          <w:tcPr>
            <w:tcW w:type="dxa" w:w="40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El proveedor está ejerciendo la única palanca que tiene: la excepción de incumplimiento. En gasoil equivale a parar la flota.</w:t>
            </w:r>
          </w:p>
        </w:tc>
        <w:tc>
          <w:tcPr>
            <w:tcW w:type="dxa" w:w="33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sz w:val="19"/>
                <w:szCs w:val="19"/>
              </w:rPr>
              <w:t xml:space="preserve">Riesgo operativo crítico.</w:t>
            </w:r>
            <w:r>
              <w:rPr>
                <w:rFonts w:ascii="Calibri" w:cs="Calibri" w:eastAsia="Calibri" w:hAnsi="Calibri"/>
                <w:b w:val="false"/>
                <w:bCs w:val="false"/>
                <w:i w:val="false"/>
                <w:iCs w:val="false"/>
                <w:sz w:val="19"/>
                <w:szCs w:val="19"/>
              </w:rPr>
              <w:t xml:space="preserve"> Sin suministro no hay facturación.</w:t>
            </w:r>
          </w:p>
        </w:tc>
      </w:tr>
      <w:tr>
        <w:tc>
          <w:tcPr>
            <w:tcW w:type="dxa" w:w="2300"/>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Tono amenazante o insistente</w:t>
            </w:r>
          </w:p>
        </w:tc>
        <w:tc>
          <w:tcPr>
            <w:tcW w:type="dxa" w:w="4000"/>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Fase previa a la reclamación formal: burofax, reclamación de intereses, procedimiento monitorio.</w:t>
            </w:r>
          </w:p>
        </w:tc>
        <w:tc>
          <w:tcPr>
            <w:tcW w:type="dxa" w:w="3300"/>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Costes añadidos, intereses de demora, y en última instancia embargo de cuentas.</w:t>
            </w:r>
          </w:p>
        </w:tc>
      </w:tr>
      <w:tr>
        <w:tc>
          <w:tcPr>
            <w:tcW w:type="dxa" w:w="23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Concentración de la deuda en el proveedor de gasoil</w:t>
            </w:r>
          </w:p>
        </w:tc>
        <w:tc>
          <w:tcPr>
            <w:tcW w:type="dxa" w:w="40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Riesgo de concentración: un solo acreedor puede detener la empresa.</w:t>
            </w:r>
          </w:p>
        </w:tc>
        <w:tc>
          <w:tcPr>
            <w:tcW w:type="dxa" w:w="33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Pérdida de poder de negociación; dependencia total.</w:t>
            </w:r>
          </w:p>
        </w:tc>
      </w:tr>
      <w:tr>
        <w:tc>
          <w:tcPr>
            <w:tcW w:type="dxa" w:w="2300"/>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La Dirección dedica horas al día a gestionar llamadas</w:t>
            </w:r>
          </w:p>
        </w:tc>
        <w:tc>
          <w:tcPr>
            <w:tcW w:type="dxa" w:w="4000"/>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Coste de oportunidad: quien debería estar vendiendo y decidiendo está apagando fuegos.</w:t>
            </w:r>
          </w:p>
        </w:tc>
        <w:tc>
          <w:tcPr>
            <w:tcW w:type="dxa" w:w="3300"/>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Deterioro comercial y desgaste personal.</w:t>
            </w:r>
          </w:p>
        </w:tc>
      </w:tr>
    </w:tbl>
    <w:p>
      <w:pPr>
        <w:pStyle w:val="Heading2"/>
        <w:spacing w:after="120" w:before="260"/>
      </w:pPr>
      <w:r>
        <w:rPr>
          <w:rFonts w:ascii="Calibri" w:cs="Calibri" w:eastAsia="Calibri" w:hAnsi="Calibri"/>
          <w:b/>
          <w:bCs/>
          <w:color w:val="2E74B5"/>
          <w:sz w:val="24"/>
          <w:szCs w:val="24"/>
        </w:rPr>
        <w:t xml:space="preserve">3.2. El mecanismo de fondo: la tijera del circulante en transporte</w:t>
      </w:r>
    </w:p>
    <w:p>
      <w:pPr>
        <w:spacing w:after="120" w:line="264"/>
        <w:jc w:val="both"/>
      </w:pPr>
      <w:r>
        <w:rPr>
          <w:rFonts w:ascii="Calibri" w:cs="Calibri" w:eastAsia="Calibri" w:hAnsi="Calibri"/>
          <w:b w:val="false"/>
          <w:bCs w:val="false"/>
          <w:i w:val="false"/>
          <w:iCs w:val="false"/>
          <w:sz w:val="21"/>
          <w:szCs w:val="21"/>
        </w:rPr>
        <w:t xml:space="preserve">El transporte por carretera es, financieramente, uno de los sectores más exigentes que existen, por una razón estructural: </w:t>
      </w:r>
      <w:r>
        <w:rPr>
          <w:rFonts w:ascii="Calibri" w:cs="Calibri" w:eastAsia="Calibri" w:hAnsi="Calibri"/>
          <w:b/>
          <w:bCs/>
          <w:i w:val="false"/>
          <w:iCs w:val="false"/>
          <w:sz w:val="21"/>
          <w:szCs w:val="21"/>
        </w:rPr>
        <w:t xml:space="preserve">se paga muy pronto y se cobra muy tarde.</w:t>
      </w:r>
    </w:p>
    <w:p>
      <w:pPr>
        <w:pStyle w:val="ListParagraph"/>
        <w:numPr>
          <w:ilvl w:val="0"/>
          <w:numId w:val="3"/>
        </w:numPr>
        <w:spacing w:after="70" w:line="264"/>
        <w:jc w:val="both"/>
      </w:pPr>
      <w:r>
        <w:rPr>
          <w:rFonts w:ascii="Calibri" w:cs="Calibri" w:eastAsia="Calibri" w:hAnsi="Calibri"/>
          <w:b/>
          <w:bCs/>
          <w:i w:val="false"/>
          <w:iCs w:val="false"/>
          <w:sz w:val="21"/>
          <w:szCs w:val="21"/>
        </w:rPr>
        <w:t xml:space="preserve">El gasoil se paga a muy corto plazo</w:t>
      </w:r>
      <w:r>
        <w:rPr>
          <w:rFonts w:ascii="Calibri" w:cs="Calibri" w:eastAsia="Calibri" w:hAnsi="Calibri"/>
          <w:b w:val="false"/>
          <w:bCs w:val="false"/>
          <w:i w:val="false"/>
          <w:iCs w:val="false"/>
          <w:sz w:val="21"/>
          <w:szCs w:val="21"/>
        </w:rPr>
        <w:t xml:space="preserve"> —a menudo al contado, semanalmente o a 15 días— porque es la única forma en que el suministrador acepta el riesgo.</w:t>
      </w:r>
    </w:p>
    <w:p>
      <w:pPr>
        <w:pStyle w:val="ListParagraph"/>
        <w:numPr>
          <w:ilvl w:val="0"/>
          <w:numId w:val="3"/>
        </w:numPr>
        <w:spacing w:after="70" w:line="264"/>
        <w:jc w:val="both"/>
      </w:pPr>
      <w:r>
        <w:rPr>
          <w:rFonts w:ascii="Calibri" w:cs="Calibri" w:eastAsia="Calibri" w:hAnsi="Calibri"/>
          <w:b/>
          <w:bCs/>
          <w:i w:val="false"/>
          <w:iCs w:val="false"/>
          <w:sz w:val="21"/>
          <w:szCs w:val="21"/>
        </w:rPr>
        <w:t xml:space="preserve">Los conductores se pagan a mes vencido</w:t>
      </w:r>
      <w:r>
        <w:rPr>
          <w:rFonts w:ascii="Calibri" w:cs="Calibri" w:eastAsia="Calibri" w:hAnsi="Calibri"/>
          <w:b w:val="false"/>
          <w:bCs w:val="false"/>
          <w:i w:val="false"/>
          <w:iCs w:val="false"/>
          <w:sz w:val="21"/>
          <w:szCs w:val="21"/>
        </w:rPr>
        <w:t xml:space="preserve">, sin excepción posible.</w:t>
      </w:r>
    </w:p>
    <w:p>
      <w:pPr>
        <w:pStyle w:val="ListParagraph"/>
        <w:numPr>
          <w:ilvl w:val="0"/>
          <w:numId w:val="3"/>
        </w:numPr>
        <w:spacing w:after="70" w:line="264"/>
        <w:jc w:val="both"/>
      </w:pPr>
      <w:r>
        <w:rPr>
          <w:rFonts w:ascii="Calibri" w:cs="Calibri" w:eastAsia="Calibri" w:hAnsi="Calibri"/>
          <w:b/>
          <w:bCs/>
          <w:i w:val="false"/>
          <w:iCs w:val="false"/>
          <w:sz w:val="21"/>
          <w:szCs w:val="21"/>
        </w:rPr>
        <w:t xml:space="preserve">Los clientes cargadores pagan a 60, 75 o 90 días</w:t>
      </w:r>
      <w:r>
        <w:rPr>
          <w:rFonts w:ascii="Calibri" w:cs="Calibri" w:eastAsia="Calibri" w:hAnsi="Calibri"/>
          <w:b w:val="false"/>
          <w:bCs w:val="false"/>
          <w:i w:val="false"/>
          <w:iCs w:val="false"/>
          <w:sz w:val="21"/>
          <w:szCs w:val="21"/>
        </w:rPr>
        <w:t xml:space="preserve">, aunque en el transporte de mercancías por carretera el plazo legal es de 30 días y el máximo absoluto de 60.</w:t>
      </w:r>
    </w:p>
    <w:p>
      <w:pPr>
        <w:spacing w:after="120" w:line="264"/>
        <w:jc w:val="both"/>
      </w:pPr>
      <w:r>
        <w:rPr>
          <w:rFonts w:ascii="Calibri" w:cs="Calibri" w:eastAsia="Calibri" w:hAnsi="Calibri"/>
          <w:b w:val="false"/>
          <w:bCs w:val="false"/>
          <w:i w:val="false"/>
          <w:iCs w:val="false"/>
          <w:sz w:val="21"/>
          <w:szCs w:val="21"/>
        </w:rPr>
        <w:t xml:space="preserve">El resultado es una </w:t>
      </w:r>
      <w:r>
        <w:rPr>
          <w:rFonts w:ascii="Calibri" w:cs="Calibri" w:eastAsia="Calibri" w:hAnsi="Calibri"/>
          <w:b/>
          <w:bCs/>
          <w:i w:val="false"/>
          <w:iCs w:val="false"/>
          <w:sz w:val="21"/>
          <w:szCs w:val="21"/>
        </w:rPr>
        <w:t xml:space="preserve">necesidad permanente de financiación del circulante</w:t>
      </w:r>
      <w:r>
        <w:rPr>
          <w:rFonts w:ascii="Calibri" w:cs="Calibri" w:eastAsia="Calibri" w:hAnsi="Calibri"/>
          <w:b w:val="false"/>
          <w:bCs w:val="false"/>
          <w:i w:val="false"/>
          <w:iCs w:val="false"/>
          <w:sz w:val="21"/>
          <w:szCs w:val="21"/>
        </w:rPr>
        <w:t xml:space="preserve">, que crece cuando crece la actividad. De ahí una paradoja que hay que entender bien: la empresa puede ser rentable en la cuenta de resultados y, al mismo tiempo, no tener dinero en el banco. Cada viaje nuevo consume caja durante dos o tres meses antes de devolverla.</w:t>
      </w:r>
    </w:p>
    <w:tbl>
      <w:tblPr>
        <w:tblW w:type="dxa" w:w="9600"/>
        <w:tblBorders>
          <w:top w:val="single" w:color="DEEAF6" w:sz="2"/>
          <w:left w:val="single" w:color="2E74B5" w:sz="18"/>
          <w:bottom w:val="single" w:color="DEEAF6" w:sz="2"/>
          <w:right w:val="single" w:color="DEEAF6" w:sz="2"/>
          <w:insideH w:val="none"/>
          <w:insideV w:val="none"/>
        </w:tblBorders>
      </w:tblPr>
      <w:tblGrid>
        <w:gridCol w:w="9600"/>
      </w:tblGrid>
      <w:tr>
        <w:tc>
          <w:tcPr>
            <w:tcW w:type="dxa" w:w="9600"/>
            <w:shd w:fill="DEEAF6" w:color="auto" w:val="clear"/>
            <w:tcMar>
              <w:top w:type="dxa" w:w="140"/>
              <w:left w:type="dxa" w:w="200"/>
              <w:bottom w:type="dxa" w:w="140"/>
              <w:right w:type="dxa" w:w="200"/>
            </w:tcMar>
          </w:tcPr>
          <w:p>
            <w:pPr>
              <w:spacing w:after="80" w:before="40"/>
            </w:pPr>
            <w:r>
              <w:rPr>
                <w:rFonts w:ascii="Calibri" w:cs="Calibri" w:eastAsia="Calibri" w:hAnsi="Calibri"/>
                <w:b/>
                <w:bCs/>
                <w:i w:val="false"/>
                <w:iCs w:val="false"/>
                <w:color w:val="1F3864"/>
                <w:sz w:val="21"/>
                <w:szCs w:val="21"/>
              </w:rPr>
              <w:t xml:space="preserve">La fórmula que hay que tener en la cabeza</w:t>
            </w:r>
          </w:p>
          <w:p>
            <w:pPr>
              <w:spacing w:after="60" w:line="252"/>
              <w:jc w:val="both"/>
            </w:pPr>
            <w:r>
              <w:rPr>
                <w:rFonts w:ascii="Calibri" w:cs="Calibri" w:eastAsia="Calibri" w:hAnsi="Calibri"/>
                <w:b/>
                <w:bCs/>
                <w:i w:val="false"/>
                <w:iCs w:val="false"/>
                <w:sz w:val="20"/>
                <w:szCs w:val="20"/>
              </w:rPr>
              <w:t xml:space="preserve">Necesidad Operativa de Fondos = Clientes pendientes de cobro + Existencias − Proveedores y acreedores comerciales</w:t>
            </w:r>
          </w:p>
          <w:p>
            <w:pPr>
              <w:spacing w:after="60" w:line="252"/>
              <w:jc w:val="both"/>
            </w:pPr>
            <w:r>
              <w:rPr>
                <w:rFonts w:ascii="Calibri" w:cs="Calibri" w:eastAsia="Calibri" w:hAnsi="Calibri"/>
                <w:b w:val="false"/>
                <w:bCs w:val="false"/>
                <w:i w:val="false"/>
                <w:iCs w:val="false"/>
                <w:sz w:val="20"/>
                <w:szCs w:val="20"/>
              </w:rPr>
              <w:t xml:space="preserve">Si esa cifra crece más rápido que la caja generada, la empresa entra en tensión aunque gane dinero. Solo hay tres salidas: </w:t>
            </w:r>
            <w:r>
              <w:rPr>
                <w:rFonts w:ascii="Calibri" w:cs="Calibri" w:eastAsia="Calibri" w:hAnsi="Calibri"/>
                <w:b/>
                <w:bCs/>
                <w:i w:val="false"/>
                <w:iCs w:val="false"/>
                <w:sz w:val="20"/>
                <w:szCs w:val="20"/>
              </w:rPr>
              <w:t xml:space="preserve">cobrar antes</w:t>
            </w:r>
            <w:r>
              <w:rPr>
                <w:rFonts w:ascii="Calibri" w:cs="Calibri" w:eastAsia="Calibri" w:hAnsi="Calibri"/>
                <w:b w:val="false"/>
                <w:bCs w:val="false"/>
                <w:i w:val="false"/>
                <w:iCs w:val="false"/>
                <w:sz w:val="20"/>
                <w:szCs w:val="20"/>
              </w:rPr>
              <w:t xml:space="preserve">, </w:t>
            </w:r>
            <w:r>
              <w:rPr>
                <w:rFonts w:ascii="Calibri" w:cs="Calibri" w:eastAsia="Calibri" w:hAnsi="Calibri"/>
                <w:b/>
                <w:bCs/>
                <w:i w:val="false"/>
                <w:iCs w:val="false"/>
                <w:sz w:val="20"/>
                <w:szCs w:val="20"/>
              </w:rPr>
              <w:t xml:space="preserve">pagar más tarde de forma pactada</w:t>
            </w:r>
            <w:r>
              <w:rPr>
                <w:rFonts w:ascii="Calibri" w:cs="Calibri" w:eastAsia="Calibri" w:hAnsi="Calibri"/>
                <w:b w:val="false"/>
                <w:bCs w:val="false"/>
                <w:i w:val="false"/>
                <w:iCs w:val="false"/>
                <w:sz w:val="20"/>
                <w:szCs w:val="20"/>
              </w:rPr>
              <w:t xml:space="preserve"> o </w:t>
            </w:r>
            <w:r>
              <w:rPr>
                <w:rFonts w:ascii="Calibri" w:cs="Calibri" w:eastAsia="Calibri" w:hAnsi="Calibri"/>
                <w:b/>
                <w:bCs/>
                <w:i w:val="false"/>
                <w:iCs w:val="false"/>
                <w:sz w:val="20"/>
                <w:szCs w:val="20"/>
              </w:rPr>
              <w:t xml:space="preserve">aportar financiación</w:t>
            </w:r>
            <w:r>
              <w:rPr>
                <w:rFonts w:ascii="Calibri" w:cs="Calibri" w:eastAsia="Calibri" w:hAnsi="Calibri"/>
                <w:b w:val="false"/>
                <w:bCs w:val="false"/>
                <w:i w:val="false"/>
                <w:iCs w:val="false"/>
                <w:sz w:val="20"/>
                <w:szCs w:val="20"/>
              </w:rPr>
              <w:t xml:space="preserve">. Todo lo demás es ruido.</w:t>
            </w:r>
          </w:p>
        </w:tc>
      </w:tr>
    </w:tbl>
    <w:p>
      <w:pPr>
        <w:pStyle w:val="Heading2"/>
        <w:spacing w:after="120" w:before="260"/>
      </w:pPr>
      <w:r>
        <w:rPr>
          <w:rFonts w:ascii="Calibri" w:cs="Calibri" w:eastAsia="Calibri" w:hAnsi="Calibri"/>
          <w:b/>
          <w:bCs/>
          <w:color w:val="2E74B5"/>
          <w:sz w:val="24"/>
          <w:szCs w:val="24"/>
        </w:rPr>
        <w:t xml:space="preserve">3.3. La pregunta que hay que responder antes que ninguna otra</w:t>
      </w:r>
    </w:p>
    <w:p>
      <w:pPr>
        <w:spacing w:after="120" w:line="264"/>
        <w:jc w:val="both"/>
      </w:pPr>
      <w:r>
        <w:rPr>
          <w:rFonts w:ascii="Calibri" w:cs="Calibri" w:eastAsia="Calibri" w:hAnsi="Calibri"/>
          <w:b w:val="false"/>
          <w:bCs w:val="false"/>
          <w:i w:val="false"/>
          <w:iCs w:val="false"/>
          <w:sz w:val="21"/>
          <w:szCs w:val="21"/>
        </w:rPr>
        <w:t xml:space="preserve">Antes de negociar un solo calendario de pagos, hay que saber si estamos ante un </w:t>
      </w:r>
      <w:r>
        <w:rPr>
          <w:rFonts w:ascii="Calibri" w:cs="Calibri" w:eastAsia="Calibri" w:hAnsi="Calibri"/>
          <w:b/>
          <w:bCs/>
          <w:i w:val="false"/>
          <w:iCs w:val="false"/>
          <w:sz w:val="21"/>
          <w:szCs w:val="21"/>
        </w:rPr>
        <w:t xml:space="preserve">problema de liquidez</w:t>
      </w:r>
      <w:r>
        <w:rPr>
          <w:rFonts w:ascii="Calibri" w:cs="Calibri" w:eastAsia="Calibri" w:hAnsi="Calibri"/>
          <w:b w:val="false"/>
          <w:bCs w:val="false"/>
          <w:i w:val="false"/>
          <w:iCs w:val="false"/>
          <w:sz w:val="21"/>
          <w:szCs w:val="21"/>
        </w:rPr>
        <w:t xml:space="preserve"> (el negocio es viable, falla el calendario) o ante un </w:t>
      </w:r>
      <w:r>
        <w:rPr>
          <w:rFonts w:ascii="Calibri" w:cs="Calibri" w:eastAsia="Calibri" w:hAnsi="Calibri"/>
          <w:b/>
          <w:bCs/>
          <w:i w:val="false"/>
          <w:iCs w:val="false"/>
          <w:sz w:val="21"/>
          <w:szCs w:val="21"/>
        </w:rPr>
        <w:t xml:space="preserve">problema de solvencia</w:t>
      </w:r>
      <w:r>
        <w:rPr>
          <w:rFonts w:ascii="Calibri" w:cs="Calibri" w:eastAsia="Calibri" w:hAnsi="Calibri"/>
          <w:b w:val="false"/>
          <w:bCs w:val="false"/>
          <w:i w:val="false"/>
          <w:iCs w:val="false"/>
          <w:sz w:val="21"/>
          <w:szCs w:val="21"/>
        </w:rPr>
        <w:t xml:space="preserve"> (el negocio no cubre sus costes). La respuesta cambia por completo el plan: si el precio por kilómetro no cubre el coste por kilómetro, ningún aplazamiento arregla nada, solo aplaza el golpe y lo hace más grande.</w:t>
      </w:r>
    </w:p>
    <w:p>
      <w:pPr>
        <w:spacing w:after="120" w:line="264"/>
        <w:jc w:val="both"/>
      </w:pPr>
      <w:r>
        <w:rPr>
          <w:rFonts w:ascii="Calibri" w:cs="Calibri" w:eastAsia="Calibri" w:hAnsi="Calibri"/>
          <w:b/>
          <w:bCs/>
          <w:i w:val="false"/>
          <w:iCs w:val="false"/>
          <w:sz w:val="21"/>
          <w:szCs w:val="21"/>
        </w:rPr>
        <w:t xml:space="preserve">Test rápido de viabilidad.</w:t>
      </w:r>
      <w:r>
        <w:rPr>
          <w:rFonts w:ascii="Calibri" w:cs="Calibri" w:eastAsia="Calibri" w:hAnsi="Calibri"/>
          <w:b w:val="false"/>
          <w:bCs w:val="false"/>
          <w:i w:val="false"/>
          <w:iCs w:val="false"/>
          <w:sz w:val="21"/>
          <w:szCs w:val="21"/>
        </w:rPr>
        <w:t xml:space="preserve"> Responder con datos de los últimos 6 meses:</w:t>
      </w:r>
    </w:p>
    <w:tbl>
      <w:tblPr>
        <w:tblW w:type="dxa" w:w="9600"/>
        <w:tblBorders>
          <w:top w:val="single" w:color="BFBFBF" w:sz="4"/>
          <w:left w:val="single" w:color="BFBFBF" w:sz="4"/>
          <w:bottom w:val="single" w:color="BFBFBF" w:sz="4"/>
          <w:right w:val="single" w:color="BFBFBF" w:sz="4"/>
          <w:insideH w:val="single" w:color="D9D9D9" w:sz="2"/>
          <w:insideV w:val="single" w:color="D9D9D9" w:sz="2"/>
        </w:tblBorders>
      </w:tblPr>
      <w:tblGrid>
        <w:gridCol w:w="3600"/>
        <w:gridCol w:w="3000"/>
        <w:gridCol w:w="3000"/>
      </w:tblGrid>
      <w:tr>
        <w:trPr>
          <w:tblHeader/>
        </w:trPr>
        <w:tc>
          <w:tcPr>
            <w:tcW w:type="dxa" w:w="3600"/>
            <w:shd w:fill="1F3864"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color w:val="FFFFFF"/>
                <w:sz w:val="19"/>
                <w:szCs w:val="19"/>
              </w:rPr>
              <w:t xml:space="preserve">Pregunta</w:t>
            </w:r>
          </w:p>
        </w:tc>
        <w:tc>
          <w:tcPr>
            <w:tcW w:type="dxa" w:w="3000"/>
            <w:shd w:fill="1F3864"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color w:val="FFFFFF"/>
                <w:sz w:val="19"/>
                <w:szCs w:val="19"/>
              </w:rPr>
              <w:t xml:space="preserve">Si la respuesta es SÍ</w:t>
            </w:r>
          </w:p>
        </w:tc>
        <w:tc>
          <w:tcPr>
            <w:tcW w:type="dxa" w:w="3000"/>
            <w:shd w:fill="1F3864"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color w:val="FFFFFF"/>
                <w:sz w:val="19"/>
                <w:szCs w:val="19"/>
              </w:rPr>
              <w:t xml:space="preserve">Si la respuesta es NO</w:t>
            </w:r>
          </w:p>
        </w:tc>
      </w:tr>
      <w:tr>
        <w:tc>
          <w:tcPr>
            <w:tcW w:type="dxa" w:w="3600"/>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¿El precio medio por kilómetro cubre el coste completo por kilómetro (gasoil, conductor, amortización, seguros, mantenimiento, peajes y estructura)?</w:t>
            </w:r>
          </w:p>
        </w:tc>
        <w:tc>
          <w:tcPr>
            <w:tcW w:type="dxa" w:w="3000"/>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Problema de liquidez. El plan de este documento resuelve.</w:t>
            </w:r>
          </w:p>
        </w:tc>
        <w:tc>
          <w:tcPr>
            <w:tcW w:type="dxa" w:w="3000"/>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sz w:val="19"/>
                <w:szCs w:val="19"/>
              </w:rPr>
              <w:t xml:space="preserve">Problema de solvencia.</w:t>
            </w:r>
            <w:r>
              <w:rPr>
                <w:rFonts w:ascii="Calibri" w:cs="Calibri" w:eastAsia="Calibri" w:hAnsi="Calibri"/>
                <w:b w:val="false"/>
                <w:bCs w:val="false"/>
                <w:i w:val="false"/>
                <w:iCs w:val="false"/>
                <w:sz w:val="19"/>
                <w:szCs w:val="19"/>
              </w:rPr>
              <w:t xml:space="preserve"> Hay que revisar tarifas y cartera de clientes ANTES de negociar deuda.</w:t>
            </w:r>
          </w:p>
        </w:tc>
      </w:tr>
      <w:tr>
        <w:tc>
          <w:tcPr>
            <w:tcW w:type="dxa" w:w="36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¿El EBITDA de los últimos 12 meses es positivo?</w:t>
            </w:r>
          </w:p>
        </w:tc>
        <w:tc>
          <w:tcPr>
            <w:tcW w:type="dxa" w:w="30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El negocio genera caja operativa: hay con qué negociar.</w:t>
            </w:r>
          </w:p>
        </w:tc>
        <w:tc>
          <w:tcPr>
            <w:tcW w:type="dxa" w:w="30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La deuda crecerá aunque se aplace. Requiere reestructuración, no calendario.</w:t>
            </w:r>
          </w:p>
        </w:tc>
      </w:tr>
      <w:tr>
        <w:tc>
          <w:tcPr>
            <w:tcW w:type="dxa" w:w="3600"/>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¿La deuda vencida es inferior a 2–3 meses de facturación?</w:t>
            </w:r>
          </w:p>
        </w:tc>
        <w:tc>
          <w:tcPr>
            <w:tcW w:type="dxa" w:w="3000"/>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Situación manejable con plan de pagos.</w:t>
            </w:r>
          </w:p>
        </w:tc>
        <w:tc>
          <w:tcPr>
            <w:tcW w:type="dxa" w:w="3000"/>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Escenario grave: valorar preconcurso (apartado 12) con asesoría.</w:t>
            </w:r>
          </w:p>
        </w:tc>
      </w:tr>
      <w:tr>
        <w:tc>
          <w:tcPr>
            <w:tcW w:type="dxa" w:w="36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¿Hay clientes que pagan a más de 60 días o que no pagan?</w:t>
            </w:r>
          </w:p>
        </w:tc>
        <w:tc>
          <w:tcPr>
            <w:tcW w:type="dxa" w:w="30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Palanca inmediata de caja (apartado 10.1).</w:t>
            </w:r>
          </w:p>
        </w:tc>
        <w:tc>
          <w:tcPr>
            <w:tcW w:type="dxa" w:w="30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La tensión es de estructura de costes, no de cobro.</w:t>
            </w:r>
          </w:p>
        </w:tc>
      </w:tr>
    </w:tbl>
    <w:p>
      <w:pPr>
        <w:spacing w:after="120" w:line="264"/>
        <w:jc w:val="both"/>
      </w:pPr>
      <w:r>
        <w:rPr>
          <w:rFonts w:ascii="Calibri" w:cs="Calibri" w:eastAsia="Calibri" w:hAnsi="Calibri"/>
          <w:b w:val="false"/>
          <w:bCs w:val="false"/>
          <w:i w:val="false"/>
          <w:iCs w:val="false"/>
          <w:sz w:val="21"/>
          <w:szCs w:val="21"/>
        </w:rPr>
        <w:t xml:space="preserve">Este test se hace </w:t>
      </w:r>
      <w:r>
        <w:rPr>
          <w:rFonts w:ascii="Calibri" w:cs="Calibri" w:eastAsia="Calibri" w:hAnsi="Calibri"/>
          <w:b/>
          <w:bCs/>
          <w:i w:val="false"/>
          <w:iCs w:val="false"/>
          <w:sz w:val="21"/>
          <w:szCs w:val="21"/>
        </w:rPr>
        <w:t xml:space="preserve">una vez, esta semana</w:t>
      </w:r>
      <w:r>
        <w:rPr>
          <w:rFonts w:ascii="Calibri" w:cs="Calibri" w:eastAsia="Calibri" w:hAnsi="Calibri"/>
          <w:b w:val="false"/>
          <w:bCs w:val="false"/>
          <w:i w:val="false"/>
          <w:iCs w:val="false"/>
          <w:sz w:val="21"/>
          <w:szCs w:val="21"/>
        </w:rPr>
        <w:t xml:space="preserve">, con la gestoría. Es media hora de trabajo y determina si el resto del plan es suficiente o si hay que acompañarlo de una revisión de tarifas.</w:t>
      </w:r>
    </w:p>
    <w:p>
      <w:pPr>
        <w:pStyle w:val="Heading1"/>
        <w:pageBreakBefore/>
        <w:pBdr>
          <w:bottom w:val="single" w:color="2E74B5" w:sz="8" w:space="6"/>
        </w:pBdr>
        <w:spacing w:after="180" w:before="240"/>
      </w:pPr>
      <w:r>
        <w:rPr>
          <w:rFonts w:ascii="Calibri" w:cs="Calibri" w:eastAsia="Calibri" w:hAnsi="Calibri"/>
          <w:b/>
          <w:bCs/>
          <w:color w:val="1F3864"/>
          <w:sz w:val="30"/>
          <w:szCs w:val="30"/>
        </w:rPr>
        <w:t xml:space="preserve">4. Fase 0 (72 horas): proteger a la Dirección</w:t>
      </w:r>
    </w:p>
    <w:p>
      <w:pPr>
        <w:spacing w:after="120" w:line="264"/>
        <w:jc w:val="both"/>
      </w:pPr>
      <w:r>
        <w:rPr>
          <w:rFonts w:ascii="Calibri" w:cs="Calibri" w:eastAsia="Calibri" w:hAnsi="Calibri"/>
          <w:b w:val="false"/>
          <w:bCs w:val="false"/>
          <w:i w:val="false"/>
          <w:iCs w:val="false"/>
          <w:sz w:val="21"/>
          <w:szCs w:val="21"/>
        </w:rPr>
        <w:t xml:space="preserve">Esta es la fase más urgente y la más barata: no cuesta dinero, solo decisión. Mientras los proveedores puedan llamar directamente a Jennifer, no habrá plan que funcione, porque cada llamada abrirá una negociación paralela fuera del presupuesto.</w:t>
      </w:r>
    </w:p>
    <w:tbl>
      <w:tblPr>
        <w:tblW w:type="dxa" w:w="9600"/>
        <w:tblBorders>
          <w:top w:val="single" w:color="DEEAF6" w:sz="2"/>
          <w:left w:val="single" w:color="2E74B5" w:sz="18"/>
          <w:bottom w:val="single" w:color="DEEAF6" w:sz="2"/>
          <w:right w:val="single" w:color="DEEAF6" w:sz="2"/>
          <w:insideH w:val="none"/>
          <w:insideV w:val="none"/>
        </w:tblBorders>
      </w:tblPr>
      <w:tblGrid>
        <w:gridCol w:w="9600"/>
      </w:tblGrid>
      <w:tr>
        <w:tc>
          <w:tcPr>
            <w:tcW w:type="dxa" w:w="9600"/>
            <w:shd w:fill="DEEAF6" w:color="auto" w:val="clear"/>
            <w:tcMar>
              <w:top w:type="dxa" w:w="140"/>
              <w:left w:type="dxa" w:w="200"/>
              <w:bottom w:type="dxa" w:w="140"/>
              <w:right w:type="dxa" w:w="200"/>
            </w:tcMar>
          </w:tcPr>
          <w:p>
            <w:pPr>
              <w:spacing w:after="80" w:before="40"/>
            </w:pPr>
            <w:r>
              <w:rPr>
                <w:rFonts w:ascii="Calibri" w:cs="Calibri" w:eastAsia="Calibri" w:hAnsi="Calibri"/>
                <w:b/>
                <w:bCs/>
                <w:i w:val="false"/>
                <w:iCs w:val="false"/>
                <w:color w:val="1F3864"/>
                <w:sz w:val="21"/>
                <w:szCs w:val="21"/>
              </w:rPr>
              <w:t xml:space="preserve">Principio rector</w:t>
            </w:r>
          </w:p>
          <w:p>
            <w:pPr>
              <w:spacing w:after="60" w:line="252"/>
              <w:jc w:val="both"/>
            </w:pPr>
            <w:r>
              <w:rPr>
                <w:rFonts w:ascii="Calibri" w:cs="Calibri" w:eastAsia="Calibri" w:hAnsi="Calibri"/>
                <w:b/>
                <w:bCs/>
                <w:i w:val="false"/>
                <w:iCs w:val="false"/>
                <w:sz w:val="20"/>
                <w:szCs w:val="20"/>
              </w:rPr>
              <w:t xml:space="preserve">Un solo canal, una sola voz, una sola respuesta.</w:t>
            </w:r>
            <w:r>
              <w:rPr>
                <w:rFonts w:ascii="Calibri" w:cs="Calibri" w:eastAsia="Calibri" w:hAnsi="Calibri"/>
                <w:b w:val="false"/>
                <w:bCs w:val="false"/>
                <w:i w:val="false"/>
                <w:iCs w:val="false"/>
                <w:sz w:val="20"/>
                <w:szCs w:val="20"/>
              </w:rPr>
              <w:t xml:space="preserve"> Todos los proveedores reciben el mismo mensaje, del mismo interlocutor, con la misma información. Nadie obtiene una ventaja por llamar más veces o por llamar más alto.</w:t>
            </w:r>
          </w:p>
        </w:tc>
      </w:tr>
    </w:tbl>
    <w:p>
      <w:pPr>
        <w:pStyle w:val="Heading2"/>
        <w:spacing w:after="120" w:before="260"/>
      </w:pPr>
      <w:r>
        <w:rPr>
          <w:rFonts w:ascii="Calibri" w:cs="Calibri" w:eastAsia="Calibri" w:hAnsi="Calibri"/>
          <w:b/>
          <w:bCs/>
          <w:color w:val="2E74B5"/>
          <w:sz w:val="24"/>
          <w:szCs w:val="24"/>
        </w:rPr>
        <w:t xml:space="preserve">4.1. Las seis medidas concretas</w:t>
      </w:r>
    </w:p>
    <w:p>
      <w:pPr>
        <w:pStyle w:val="ListParagraph"/>
        <w:numPr>
          <w:ilvl w:val="0"/>
          <w:numId w:val="2"/>
        </w:numPr>
        <w:spacing w:after="70" w:line="264"/>
        <w:jc w:val="both"/>
      </w:pPr>
      <w:r>
        <w:rPr>
          <w:rFonts w:ascii="Calibri" w:cs="Calibri" w:eastAsia="Calibri" w:hAnsi="Calibri"/>
          <w:b/>
          <w:bCs/>
          <w:i w:val="false"/>
          <w:iCs w:val="false"/>
          <w:sz w:val="21"/>
          <w:szCs w:val="21"/>
        </w:rPr>
        <w:t xml:space="preserve">Crear un canal único de pagos.</w:t>
      </w:r>
      <w:r>
        <w:rPr>
          <w:rFonts w:ascii="Calibri" w:cs="Calibri" w:eastAsia="Calibri" w:hAnsi="Calibri"/>
          <w:b w:val="false"/>
          <w:bCs w:val="false"/>
          <w:i w:val="false"/>
          <w:iCs w:val="false"/>
          <w:sz w:val="21"/>
          <w:szCs w:val="21"/>
        </w:rPr>
        <w:t xml:space="preserve"> Una dirección de correo (por ejemplo, pagos@transportesaraya.es) y un teléfono de administración con horario publicado de atención a proveedores (por ejemplo, de 9:00 a 14:00). Todo lo relativo a facturas y cobros pasa por ahí.</w:t>
      </w:r>
    </w:p>
    <w:p>
      <w:pPr>
        <w:pStyle w:val="ListParagraph"/>
        <w:numPr>
          <w:ilvl w:val="0"/>
          <w:numId w:val="2"/>
        </w:numPr>
        <w:spacing w:after="70" w:line="264"/>
        <w:jc w:val="both"/>
      </w:pPr>
      <w:r>
        <w:rPr>
          <w:rFonts w:ascii="Calibri" w:cs="Calibri" w:eastAsia="Calibri" w:hAnsi="Calibri"/>
          <w:b/>
          <w:bCs/>
          <w:i w:val="false"/>
          <w:iCs w:val="false"/>
          <w:sz w:val="21"/>
          <w:szCs w:val="21"/>
        </w:rPr>
        <w:t xml:space="preserve">Comunicarlo por escrito a todos los proveedores.</w:t>
      </w:r>
      <w:r>
        <w:rPr>
          <w:rFonts w:ascii="Calibri" w:cs="Calibri" w:eastAsia="Calibri" w:hAnsi="Calibri"/>
          <w:b w:val="false"/>
          <w:bCs w:val="false"/>
          <w:i w:val="false"/>
          <w:iCs w:val="false"/>
          <w:sz w:val="21"/>
          <w:szCs w:val="21"/>
        </w:rPr>
        <w:t xml:space="preserve"> Un email único (modelo en el Anexo D.1) informando del nuevo canal, del responsable y del compromiso de respuesta en 48 horas. Este correo, por sí solo, reduce drásticamente el volumen de llamadas: la mayoría de la insistencia nace de la sensación de que nadie responde.</w:t>
      </w:r>
    </w:p>
    <w:p>
      <w:pPr>
        <w:pStyle w:val="ListParagraph"/>
        <w:numPr>
          <w:ilvl w:val="0"/>
          <w:numId w:val="2"/>
        </w:numPr>
        <w:spacing w:after="70" w:line="264"/>
        <w:jc w:val="both"/>
      </w:pPr>
      <w:r>
        <w:rPr>
          <w:rFonts w:ascii="Calibri" w:cs="Calibri" w:eastAsia="Calibri" w:hAnsi="Calibri"/>
          <w:b/>
          <w:bCs/>
          <w:i w:val="false"/>
          <w:iCs w:val="false"/>
          <w:sz w:val="21"/>
          <w:szCs w:val="21"/>
        </w:rPr>
        <w:t xml:space="preserve">El móvil de la Dirección deja de ser canal de proveedores.</w:t>
      </w:r>
      <w:r>
        <w:rPr>
          <w:rFonts w:ascii="Calibri" w:cs="Calibri" w:eastAsia="Calibri" w:hAnsi="Calibri"/>
          <w:b w:val="false"/>
          <w:bCs w:val="false"/>
          <w:i w:val="false"/>
          <w:iCs w:val="false"/>
          <w:sz w:val="21"/>
          <w:szCs w:val="21"/>
        </w:rPr>
        <w:t xml:space="preserve"> No se trata de no atender: se trata de derivar. Frase única, amable y firme: *"Te paso con administración, que lleva el calendario de pagos y te puede dar fecha concreta; yo no la tengo delante."*</w:t>
      </w:r>
    </w:p>
    <w:p>
      <w:pPr>
        <w:pStyle w:val="ListParagraph"/>
        <w:numPr>
          <w:ilvl w:val="0"/>
          <w:numId w:val="2"/>
        </w:numPr>
        <w:spacing w:after="70" w:line="264"/>
        <w:jc w:val="both"/>
      </w:pPr>
      <w:r>
        <w:rPr>
          <w:rFonts w:ascii="Calibri" w:cs="Calibri" w:eastAsia="Calibri" w:hAnsi="Calibri"/>
          <w:b/>
          <w:bCs/>
          <w:i w:val="false"/>
          <w:iCs w:val="false"/>
          <w:sz w:val="21"/>
          <w:szCs w:val="21"/>
        </w:rPr>
        <w:t xml:space="preserve">Registrar todas las reclamaciones.</w:t>
      </w:r>
      <w:r>
        <w:rPr>
          <w:rFonts w:ascii="Calibri" w:cs="Calibri" w:eastAsia="Calibri" w:hAnsi="Calibri"/>
          <w:b w:val="false"/>
          <w:bCs w:val="false"/>
          <w:i w:val="false"/>
          <w:iCs w:val="false"/>
          <w:sz w:val="21"/>
          <w:szCs w:val="21"/>
        </w:rPr>
        <w:t xml:space="preserve"> Cada llamada, email o burofax se anota en el Registro del Anexo E: fecha, proveedor, importe reclamado, tono, compromiso adquirido. Nada se gestiona de memoria. Ese registro es, además, el mejor termómetro del plan.</w:t>
      </w:r>
    </w:p>
    <w:p>
      <w:pPr>
        <w:pStyle w:val="ListParagraph"/>
        <w:numPr>
          <w:ilvl w:val="0"/>
          <w:numId w:val="2"/>
        </w:numPr>
        <w:spacing w:after="70" w:line="264"/>
        <w:jc w:val="both"/>
      </w:pPr>
      <w:r>
        <w:rPr>
          <w:rFonts w:ascii="Calibri" w:cs="Calibri" w:eastAsia="Calibri" w:hAnsi="Calibri"/>
          <w:b/>
          <w:bCs/>
          <w:i w:val="false"/>
          <w:iCs w:val="false"/>
          <w:sz w:val="21"/>
          <w:szCs w:val="21"/>
        </w:rPr>
        <w:t xml:space="preserve">Definir criterios objetivos de escalado a Dirección.</w:t>
      </w:r>
      <w:r>
        <w:rPr>
          <w:rFonts w:ascii="Calibri" w:cs="Calibri" w:eastAsia="Calibri" w:hAnsi="Calibri"/>
          <w:b w:val="false"/>
          <w:bCs w:val="false"/>
          <w:i w:val="false"/>
          <w:iCs w:val="false"/>
          <w:sz w:val="21"/>
          <w:szCs w:val="21"/>
        </w:rPr>
        <w:t xml:space="preserve"> Solo llegan a Jennifer los casos que cumplen alguno de estos supuestos, y siempre con la ficha preparada: (a) anuncio de corte de suministro de un proveedor crítico; (b) reclamación judicial, burofax o monitorio; (c) acuerdo que exija quita, garantía personal o aval; (d) proveedor que concentre más del 15 % de la deuda total.</w:t>
      </w:r>
    </w:p>
    <w:p>
      <w:pPr>
        <w:pStyle w:val="ListParagraph"/>
        <w:numPr>
          <w:ilvl w:val="0"/>
          <w:numId w:val="2"/>
        </w:numPr>
        <w:spacing w:after="70" w:line="264"/>
        <w:jc w:val="both"/>
      </w:pPr>
      <w:r>
        <w:rPr>
          <w:rFonts w:ascii="Calibri" w:cs="Calibri" w:eastAsia="Calibri" w:hAnsi="Calibri"/>
          <w:b/>
          <w:bCs/>
          <w:i w:val="false"/>
          <w:iCs w:val="false"/>
          <w:sz w:val="21"/>
          <w:szCs w:val="21"/>
        </w:rPr>
        <w:t xml:space="preserve">Ningún acuerdo se cierra por teléfono.</w:t>
      </w:r>
      <w:r>
        <w:rPr>
          <w:rFonts w:ascii="Calibri" w:cs="Calibri" w:eastAsia="Calibri" w:hAnsi="Calibri"/>
          <w:b w:val="false"/>
          <w:bCs w:val="false"/>
          <w:i w:val="false"/>
          <w:iCs w:val="false"/>
          <w:sz w:val="21"/>
          <w:szCs w:val="21"/>
        </w:rPr>
        <w:t xml:space="preserve"> Se escucha, se toma nota y se responde por escrito en un plazo comprometido. Lo que no está por escrito, no existe.</w:t>
      </w:r>
    </w:p>
    <w:p>
      <w:pPr>
        <w:pStyle w:val="Heading2"/>
        <w:spacing w:after="120" w:before="260"/>
      </w:pPr>
      <w:r>
        <w:rPr>
          <w:rFonts w:ascii="Calibri" w:cs="Calibri" w:eastAsia="Calibri" w:hAnsi="Calibri"/>
          <w:b/>
          <w:bCs/>
          <w:color w:val="2E74B5"/>
          <w:sz w:val="24"/>
          <w:szCs w:val="24"/>
        </w:rPr>
        <w:t xml:space="preserve">4.2. El guion de respuesta (para toda la empresa)</w:t>
      </w:r>
    </w:p>
    <w:p>
      <w:pPr>
        <w:spacing w:after="120" w:line="264"/>
        <w:jc w:val="both"/>
      </w:pPr>
      <w:r>
        <w:rPr>
          <w:rFonts w:ascii="Calibri" w:cs="Calibri" w:eastAsia="Calibri" w:hAnsi="Calibri"/>
          <w:b w:val="false"/>
          <w:bCs w:val="false"/>
          <w:i w:val="false"/>
          <w:iCs w:val="false"/>
          <w:sz w:val="21"/>
          <w:szCs w:val="21"/>
        </w:rPr>
        <w:t xml:space="preserve">Todas las personas que puedan coger el teléfono deben tener el mismo guion a mano. La honestidad, aquí, es una herramienta de gestión: un proveedor que recibe una fecha realista y se cumple, deja de llamar; uno que recibe una fecha optimista y falla, llama el doble.</w:t>
      </w:r>
    </w:p>
    <w:tbl>
      <w:tblPr>
        <w:tblW w:type="dxa" w:w="9600"/>
        <w:tblBorders>
          <w:top w:val="single" w:color="C6E0B4" w:sz="2"/>
          <w:left w:val="single" w:color="2E74B5" w:sz="18"/>
          <w:bottom w:val="single" w:color="C6E0B4" w:sz="2"/>
          <w:right w:val="single" w:color="C6E0B4" w:sz="2"/>
          <w:insideH w:val="none"/>
          <w:insideV w:val="none"/>
        </w:tblBorders>
      </w:tblPr>
      <w:tblGrid>
        <w:gridCol w:w="9600"/>
      </w:tblGrid>
      <w:tr>
        <w:tc>
          <w:tcPr>
            <w:tcW w:type="dxa" w:w="9600"/>
            <w:shd w:fill="C6E0B4" w:color="auto" w:val="clear"/>
            <w:tcMar>
              <w:top w:type="dxa" w:w="140"/>
              <w:left w:type="dxa" w:w="200"/>
              <w:bottom w:type="dxa" w:w="140"/>
              <w:right w:type="dxa" w:w="200"/>
            </w:tcMar>
          </w:tcPr>
          <w:p>
            <w:pPr>
              <w:spacing w:after="80" w:before="40"/>
            </w:pPr>
            <w:r>
              <w:rPr>
                <w:rFonts w:ascii="Calibri" w:cs="Calibri" w:eastAsia="Calibri" w:hAnsi="Calibri"/>
                <w:b/>
                <w:bCs/>
                <w:i w:val="false"/>
                <w:iCs w:val="false"/>
                <w:color w:val="1F3864"/>
                <w:sz w:val="21"/>
                <w:szCs w:val="21"/>
              </w:rPr>
              <w:t xml:space="preserve">Respuesta estándar ante una reclamación</w:t>
            </w:r>
          </w:p>
          <w:p>
            <w:pPr>
              <w:spacing w:after="60" w:line="252"/>
              <w:jc w:val="both"/>
            </w:pPr>
            <w:r>
              <w:rPr>
                <w:rFonts w:ascii="Calibri" w:cs="Calibri" w:eastAsia="Calibri" w:hAnsi="Calibri"/>
                <w:b w:val="false"/>
                <w:bCs w:val="false"/>
                <w:i w:val="false"/>
                <w:iCs w:val="false"/>
                <w:sz w:val="20"/>
                <w:szCs w:val="20"/>
              </w:rPr>
              <w:t xml:space="preserve">*"Tenemos su factura registrada y reconocida. Estamos ejecutando un calendario de pagos ordenado y le confirmo por escrito hoy mismo la fecha concreta de su factura. No le voy a dar una fecha ahora que luego no podamos cumplir: prefiero darle una que se cumpla."*</w:t>
            </w:r>
          </w:p>
          <w:p>
            <w:pPr>
              <w:spacing w:after="60" w:line="252"/>
              <w:jc w:val="both"/>
            </w:pPr>
            <w:r>
              <w:rPr>
                <w:rFonts w:ascii="Calibri" w:cs="Calibri" w:eastAsia="Calibri" w:hAnsi="Calibri"/>
                <w:b w:val="false"/>
                <w:bCs w:val="false"/>
                <w:i w:val="false"/>
                <w:iCs w:val="false"/>
                <w:sz w:val="20"/>
                <w:szCs w:val="20"/>
              </w:rPr>
              <w:t xml:space="preserve">Y a continuación, </w:t>
            </w:r>
            <w:r>
              <w:rPr>
                <w:rFonts w:ascii="Calibri" w:cs="Calibri" w:eastAsia="Calibri" w:hAnsi="Calibri"/>
                <w:b/>
                <w:bCs/>
                <w:i w:val="false"/>
                <w:iCs w:val="false"/>
                <w:sz w:val="20"/>
                <w:szCs w:val="20"/>
              </w:rPr>
              <w:t xml:space="preserve">cumplirla</w:t>
            </w:r>
            <w:r>
              <w:rPr>
                <w:rFonts w:ascii="Calibri" w:cs="Calibri" w:eastAsia="Calibri" w:hAnsi="Calibri"/>
                <w:b w:val="false"/>
                <w:bCs w:val="false"/>
                <w:i w:val="false"/>
                <w:iCs w:val="false"/>
                <w:sz w:val="20"/>
                <w:szCs w:val="20"/>
              </w:rPr>
              <w:t xml:space="preserve">. La credibilidad se construye con el primer pago comprometido que se cumple, no con la promesa.</w:t>
            </w:r>
          </w:p>
        </w:tc>
      </w:tr>
    </w:tbl>
    <w:p>
      <w:pPr>
        <w:pStyle w:val="Heading2"/>
        <w:spacing w:after="120" w:before="260"/>
      </w:pPr>
      <w:r>
        <w:rPr>
          <w:rFonts w:ascii="Calibri" w:cs="Calibri" w:eastAsia="Calibri" w:hAnsi="Calibri"/>
          <w:b/>
          <w:bCs/>
          <w:color w:val="2E74B5"/>
          <w:sz w:val="24"/>
          <w:szCs w:val="24"/>
        </w:rPr>
        <w:t xml:space="preserve">4.3. Lo que no se debe hacer bajo ningún concepto</w:t>
      </w:r>
    </w:p>
    <w:tbl>
      <w:tblPr>
        <w:tblW w:type="dxa" w:w="9600"/>
        <w:tblBorders>
          <w:top w:val="single" w:color="BFBFBF" w:sz="4"/>
          <w:left w:val="single" w:color="BFBFBF" w:sz="4"/>
          <w:bottom w:val="single" w:color="BFBFBF" w:sz="4"/>
          <w:right w:val="single" w:color="BFBFBF" w:sz="4"/>
          <w:insideH w:val="single" w:color="D9D9D9" w:sz="2"/>
          <w:insideV w:val="single" w:color="D9D9D9" w:sz="2"/>
        </w:tblBorders>
      </w:tblPr>
      <w:tblGrid>
        <w:gridCol w:w="3200"/>
        <w:gridCol w:w="6400"/>
      </w:tblGrid>
      <w:tr>
        <w:trPr>
          <w:tblHeader/>
        </w:trPr>
        <w:tc>
          <w:tcPr>
            <w:tcW w:type="dxa" w:w="3200"/>
            <w:shd w:fill="1F3864"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color w:val="FFFFFF"/>
                <w:sz w:val="19"/>
                <w:szCs w:val="19"/>
              </w:rPr>
              <w:t xml:space="preserve">Error</w:t>
            </w:r>
          </w:p>
        </w:tc>
        <w:tc>
          <w:tcPr>
            <w:tcW w:type="dxa" w:w="6400"/>
            <w:shd w:fill="1F3864"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color w:val="FFFFFF"/>
                <w:sz w:val="19"/>
                <w:szCs w:val="19"/>
              </w:rPr>
              <w:t xml:space="preserve">Por qué es grave</w:t>
            </w:r>
          </w:p>
        </w:tc>
      </w:tr>
      <w:tr>
        <w:tc>
          <w:tcPr>
            <w:tcW w:type="dxa" w:w="3200"/>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sz w:val="19"/>
                <w:szCs w:val="19"/>
              </w:rPr>
              <w:t xml:space="preserve">Prometer "la semana que viene" sin que esté en el presupuesto de tesorería</w:t>
            </w:r>
          </w:p>
        </w:tc>
        <w:tc>
          <w:tcPr>
            <w:tcW w:type="dxa" w:w="6400"/>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Cada promesa incumplida multiplica la presión y destruye el margen de negociación futuro.</w:t>
            </w:r>
          </w:p>
        </w:tc>
      </w:tr>
      <w:tr>
        <w:tc>
          <w:tcPr>
            <w:tcW w:type="dxa" w:w="32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sz w:val="19"/>
                <w:szCs w:val="19"/>
              </w:rPr>
              <w:t xml:space="preserve">Pagar al que más presiona</w:t>
            </w:r>
          </w:p>
        </w:tc>
        <w:tc>
          <w:tcPr>
            <w:tcW w:type="dxa" w:w="64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Enseña al conjunto de proveedores que la presión funciona. Garantiza que las llamadas aumenten.</w:t>
            </w:r>
          </w:p>
        </w:tc>
      </w:tr>
      <w:tr>
        <w:tc>
          <w:tcPr>
            <w:tcW w:type="dxa" w:w="3200"/>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sz w:val="19"/>
                <w:szCs w:val="19"/>
              </w:rPr>
              <w:t xml:space="preserve">Dejar de contestar o no coger el teléfono</w:t>
            </w:r>
          </w:p>
        </w:tc>
        <w:tc>
          <w:tcPr>
            <w:tcW w:type="dxa" w:w="6400"/>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El silencio es el principal acelerador de la vía judicial. Un acreedor que no obtiene respuesta acude al burofax y al monitorio.</w:t>
            </w:r>
          </w:p>
        </w:tc>
      </w:tr>
      <w:tr>
        <w:tc>
          <w:tcPr>
            <w:tcW w:type="dxa" w:w="32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sz w:val="19"/>
                <w:szCs w:val="19"/>
              </w:rPr>
              <w:t xml:space="preserve">Firmar reconocimientos de deuda con garantía o aval personal de la Dirección</w:t>
            </w:r>
          </w:p>
        </w:tc>
        <w:tc>
          <w:tcPr>
            <w:tcW w:type="dxa" w:w="64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sz w:val="19"/>
                <w:szCs w:val="19"/>
              </w:rPr>
              <w:t xml:space="preserve">Traslada la deuda de la empresa al patrimonio personal de Jennifer.</w:t>
            </w:r>
            <w:r>
              <w:rPr>
                <w:rFonts w:ascii="Calibri" w:cs="Calibri" w:eastAsia="Calibri" w:hAnsi="Calibri"/>
                <w:b w:val="false"/>
                <w:bCs w:val="false"/>
                <w:i w:val="false"/>
                <w:iCs w:val="false"/>
                <w:sz w:val="19"/>
                <w:szCs w:val="19"/>
              </w:rPr>
              <w:t xml:space="preserve"> No se firma nada de este tipo sin revisión legal previa.</w:t>
            </w:r>
          </w:p>
        </w:tc>
      </w:tr>
      <w:tr>
        <w:tc>
          <w:tcPr>
            <w:tcW w:type="dxa" w:w="3200"/>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sz w:val="19"/>
                <w:szCs w:val="19"/>
              </w:rPr>
              <w:t xml:space="preserve">Discutir el importe de facturas que son correctas</w:t>
            </w:r>
          </w:p>
        </w:tc>
        <w:tc>
          <w:tcPr>
            <w:tcW w:type="dxa" w:w="6400"/>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Quema credibilidad. Solo se discute lo que realmente está mal, y por escrito.</w:t>
            </w:r>
          </w:p>
        </w:tc>
      </w:tr>
      <w:tr>
        <w:tc>
          <w:tcPr>
            <w:tcW w:type="dxa" w:w="32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sz w:val="19"/>
                <w:szCs w:val="19"/>
              </w:rPr>
              <w:t xml:space="preserve">Domiciliar recibos sin saldo</w:t>
            </w:r>
          </w:p>
        </w:tc>
        <w:tc>
          <w:tcPr>
            <w:tcW w:type="dxa" w:w="64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Cada devolución genera comisiones, deteriora el scoring bancario y añade un conflicto más.</w:t>
            </w:r>
          </w:p>
        </w:tc>
      </w:tr>
    </w:tbl>
    <w:p>
      <w:pPr>
        <w:pStyle w:val="Heading1"/>
        <w:pageBreakBefore/>
        <w:pBdr>
          <w:bottom w:val="single" w:color="2E74B5" w:sz="8" w:space="6"/>
        </w:pBdr>
        <w:spacing w:after="180" w:before="240"/>
      </w:pPr>
      <w:r>
        <w:rPr>
          <w:rFonts w:ascii="Calibri" w:cs="Calibri" w:eastAsia="Calibri" w:hAnsi="Calibri"/>
          <w:b/>
          <w:bCs/>
          <w:color w:val="1F3864"/>
          <w:sz w:val="30"/>
          <w:szCs w:val="30"/>
        </w:rPr>
        <w:t xml:space="preserve">5. Fase 1 (días 1–5): la foto real</w:t>
      </w:r>
    </w:p>
    <w:p>
      <w:pPr>
        <w:spacing w:after="120" w:line="264"/>
        <w:jc w:val="both"/>
      </w:pPr>
      <w:r>
        <w:rPr>
          <w:rFonts w:ascii="Calibri" w:cs="Calibri" w:eastAsia="Calibri" w:hAnsi="Calibri"/>
          <w:b w:val="false"/>
          <w:bCs w:val="false"/>
          <w:i w:val="false"/>
          <w:iCs w:val="false"/>
          <w:sz w:val="21"/>
          <w:szCs w:val="21"/>
        </w:rPr>
        <w:t xml:space="preserve">Es imposible decidir a quién se paga sin saber cuánto se debe, a quién, desde cuándo, y con qué dinero se cuenta. Esta fase produce cuatro inventarios. Debe estar terminada en cinco días laborables, aunque sea con estimaciones.</w:t>
      </w:r>
    </w:p>
    <w:p>
      <w:pPr>
        <w:pStyle w:val="Heading2"/>
        <w:spacing w:after="120" w:before="260"/>
      </w:pPr>
      <w:r>
        <w:rPr>
          <w:rFonts w:ascii="Calibri" w:cs="Calibri" w:eastAsia="Calibri" w:hAnsi="Calibri"/>
          <w:b/>
          <w:bCs/>
          <w:color w:val="2E74B5"/>
          <w:sz w:val="24"/>
          <w:szCs w:val="24"/>
        </w:rPr>
        <w:t xml:space="preserve">5.1. Inventario 1 — Deuda con proveedores (aging)</w:t>
      </w:r>
    </w:p>
    <w:p>
      <w:pPr>
        <w:spacing w:after="120" w:line="264"/>
        <w:jc w:val="both"/>
      </w:pPr>
      <w:r>
        <w:rPr>
          <w:rFonts w:ascii="Calibri" w:cs="Calibri" w:eastAsia="Calibri" w:hAnsi="Calibri"/>
          <w:b w:val="false"/>
          <w:bCs w:val="false"/>
          <w:i w:val="false"/>
          <w:iCs w:val="false"/>
          <w:sz w:val="21"/>
          <w:szCs w:val="21"/>
        </w:rPr>
        <w:t xml:space="preserve">Una línea por factura pendiente, no por proveedor. La antigüedad es tan importante como el importe: una factura de 800 € vencida hace 120 días genera más riesgo de reclamación judicial que una de 5.000 € vencida hace 10.</w:t>
      </w:r>
    </w:p>
    <w:tbl>
      <w:tblPr>
        <w:tblW w:type="dxa" w:w="9600"/>
        <w:tblBorders>
          <w:top w:val="single" w:color="BFBFBF" w:sz="4"/>
          <w:left w:val="single" w:color="BFBFBF" w:sz="4"/>
          <w:bottom w:val="single" w:color="BFBFBF" w:sz="4"/>
          <w:right w:val="single" w:color="BFBFBF" w:sz="4"/>
          <w:insideH w:val="single" w:color="D9D9D9" w:sz="2"/>
          <w:insideV w:val="single" w:color="D9D9D9" w:sz="2"/>
        </w:tblBorders>
      </w:tblPr>
      <w:tblGrid>
        <w:gridCol w:w="3000"/>
        <w:gridCol w:w="6600"/>
      </w:tblGrid>
      <w:tr>
        <w:trPr>
          <w:tblHeader/>
        </w:trPr>
        <w:tc>
          <w:tcPr>
            <w:tcW w:type="dxa" w:w="3000"/>
            <w:shd w:fill="1F3864"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color w:val="FFFFFF"/>
                <w:sz w:val="19"/>
                <w:szCs w:val="19"/>
              </w:rPr>
              <w:t xml:space="preserve">Campo</w:t>
            </w:r>
          </w:p>
        </w:tc>
        <w:tc>
          <w:tcPr>
            <w:tcW w:type="dxa" w:w="6600"/>
            <w:shd w:fill="1F3864"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color w:val="FFFFFF"/>
                <w:sz w:val="19"/>
                <w:szCs w:val="19"/>
              </w:rPr>
              <w:t xml:space="preserve">Contenido</w:t>
            </w:r>
          </w:p>
        </w:tc>
      </w:tr>
      <w:tr>
        <w:tc>
          <w:tcPr>
            <w:tcW w:type="dxa" w:w="3000"/>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sz w:val="19"/>
                <w:szCs w:val="19"/>
              </w:rPr>
              <w:t xml:space="preserve">Proveedor / NIF</w:t>
            </w:r>
          </w:p>
        </w:tc>
        <w:tc>
          <w:tcPr>
            <w:tcW w:type="dxa" w:w="6600"/>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Identificación y persona de contacto.</w:t>
            </w:r>
          </w:p>
        </w:tc>
      </w:tr>
      <w:tr>
        <w:tc>
          <w:tcPr>
            <w:tcW w:type="dxa" w:w="30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sz w:val="19"/>
                <w:szCs w:val="19"/>
              </w:rPr>
              <w:t xml:space="preserve">Nº de factura y fecha</w:t>
            </w:r>
          </w:p>
        </w:tc>
        <w:tc>
          <w:tcPr>
            <w:tcW w:type="dxa" w:w="66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Fecha de emisión y fecha de vencimiento pactada.</w:t>
            </w:r>
          </w:p>
        </w:tc>
      </w:tr>
      <w:tr>
        <w:tc>
          <w:tcPr>
            <w:tcW w:type="dxa" w:w="3000"/>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sz w:val="19"/>
                <w:szCs w:val="19"/>
              </w:rPr>
              <w:t xml:space="preserve">Importe total e importe pendiente</w:t>
            </w:r>
          </w:p>
        </w:tc>
        <w:tc>
          <w:tcPr>
            <w:tcW w:type="dxa" w:w="6600"/>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Distinguir pagos parciales ya realizados.</w:t>
            </w:r>
          </w:p>
        </w:tc>
      </w:tr>
      <w:tr>
        <w:tc>
          <w:tcPr>
            <w:tcW w:type="dxa" w:w="30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sz w:val="19"/>
                <w:szCs w:val="19"/>
              </w:rPr>
              <w:t xml:space="preserve">Días de retraso</w:t>
            </w:r>
          </w:p>
        </w:tc>
        <w:tc>
          <w:tcPr>
            <w:tcW w:type="dxa" w:w="66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Tramos: al corriente / 1–30 / 31–60 / 61–90 / más de 90.</w:t>
            </w:r>
          </w:p>
        </w:tc>
      </w:tr>
      <w:tr>
        <w:tc>
          <w:tcPr>
            <w:tcW w:type="dxa" w:w="3000"/>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sz w:val="19"/>
                <w:szCs w:val="19"/>
              </w:rPr>
              <w:t xml:space="preserve">Categoría de gasto</w:t>
            </w:r>
          </w:p>
        </w:tc>
        <w:tc>
          <w:tcPr>
            <w:tcW w:type="dxa" w:w="6600"/>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Combustible, mantenimiento, seguros, peajes, alquileres, servicios, otros.</w:t>
            </w:r>
          </w:p>
        </w:tc>
      </w:tr>
      <w:tr>
        <w:tc>
          <w:tcPr>
            <w:tcW w:type="dxa" w:w="30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sz w:val="19"/>
                <w:szCs w:val="19"/>
              </w:rPr>
              <w:t xml:space="preserve">Criticidad (semáforo)</w:t>
            </w:r>
          </w:p>
        </w:tc>
        <w:tc>
          <w:tcPr>
            <w:tcW w:type="dxa" w:w="66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Rojo / Ámbar / Verde según el apartado 6.</w:t>
            </w:r>
          </w:p>
        </w:tc>
      </w:tr>
      <w:tr>
        <w:tc>
          <w:tcPr>
            <w:tcW w:type="dxa" w:w="3000"/>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sz w:val="19"/>
                <w:szCs w:val="19"/>
              </w:rPr>
              <w:t xml:space="preserve">Estado de la reclamación</w:t>
            </w:r>
          </w:p>
        </w:tc>
        <w:tc>
          <w:tcPr>
            <w:tcW w:type="dxa" w:w="6600"/>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Sin reclamar / reclamado / burofax / monitorio / demanda.</w:t>
            </w:r>
          </w:p>
        </w:tc>
      </w:tr>
      <w:tr>
        <w:tc>
          <w:tcPr>
            <w:tcW w:type="dxa" w:w="30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sz w:val="19"/>
                <w:szCs w:val="19"/>
              </w:rPr>
              <w:t xml:space="preserve">Acuerdo vigente</w:t>
            </w:r>
          </w:p>
        </w:tc>
        <w:tc>
          <w:tcPr>
            <w:tcW w:type="dxa" w:w="66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Si existe calendario pactado, sus hitos y su cumplimiento.</w:t>
            </w:r>
          </w:p>
        </w:tc>
      </w:tr>
    </w:tbl>
    <w:p>
      <w:pPr>
        <w:pStyle w:val="Heading2"/>
        <w:spacing w:after="120" w:before="260"/>
      </w:pPr>
      <w:r>
        <w:rPr>
          <w:rFonts w:ascii="Calibri" w:cs="Calibri" w:eastAsia="Calibri" w:hAnsi="Calibri"/>
          <w:b/>
          <w:bCs/>
          <w:color w:val="2E74B5"/>
          <w:sz w:val="24"/>
          <w:szCs w:val="24"/>
        </w:rPr>
        <w:t xml:space="preserve">5.2. Inventario 2 — Cartera de clientes pendiente de cobro</w:t>
      </w:r>
    </w:p>
    <w:p>
      <w:pPr>
        <w:spacing w:after="120" w:line="264"/>
        <w:jc w:val="both"/>
      </w:pPr>
      <w:r>
        <w:rPr>
          <w:rFonts w:ascii="Calibri" w:cs="Calibri" w:eastAsia="Calibri" w:hAnsi="Calibri"/>
          <w:b w:val="false"/>
          <w:bCs w:val="false"/>
          <w:i w:val="false"/>
          <w:iCs w:val="false"/>
          <w:sz w:val="21"/>
          <w:szCs w:val="21"/>
        </w:rPr>
        <w:t xml:space="preserve">Este inventario suele ser el más rentable de todos, porque es donde está el dinero que ya es nuestro. Mismos campos que el anterior, más dos columnas decisivas:</w:t>
      </w:r>
    </w:p>
    <w:p>
      <w:pPr>
        <w:pStyle w:val="ListParagraph"/>
        <w:numPr>
          <w:ilvl w:val="0"/>
          <w:numId w:val="3"/>
        </w:numPr>
        <w:spacing w:after="70" w:line="264"/>
        <w:jc w:val="both"/>
      </w:pPr>
      <w:r>
        <w:rPr>
          <w:rFonts w:ascii="Calibri" w:cs="Calibri" w:eastAsia="Calibri" w:hAnsi="Calibri"/>
          <w:b/>
          <w:bCs/>
          <w:i w:val="false"/>
          <w:iCs w:val="false"/>
          <w:sz w:val="21"/>
          <w:szCs w:val="21"/>
        </w:rPr>
        <w:t xml:space="preserve">¿Está fuera del plazo legal de pago?</w:t>
      </w:r>
      <w:r>
        <w:rPr>
          <w:rFonts w:ascii="Calibri" w:cs="Calibri" w:eastAsia="Calibri" w:hAnsi="Calibri"/>
          <w:b w:val="false"/>
          <w:bCs w:val="false"/>
          <w:i w:val="false"/>
          <w:iCs w:val="false"/>
          <w:sz w:val="21"/>
          <w:szCs w:val="21"/>
        </w:rPr>
        <w:t xml:space="preserve"> En el transporte de mercancías por carretera el plazo es de 30 días desde la entrega, ampliable por pacto expreso hasta un máximo de 60. Los pactos que superen ese máximo son nulos y existe régimen sancionador específico desde la Ley 13/2021.</w:t>
      </w:r>
    </w:p>
    <w:p>
      <w:pPr>
        <w:pStyle w:val="ListParagraph"/>
        <w:numPr>
          <w:ilvl w:val="0"/>
          <w:numId w:val="3"/>
        </w:numPr>
        <w:spacing w:after="70" w:line="264"/>
        <w:jc w:val="both"/>
      </w:pPr>
      <w:r>
        <w:rPr>
          <w:rFonts w:ascii="Calibri" w:cs="Calibri" w:eastAsia="Calibri" w:hAnsi="Calibri"/>
          <w:b/>
          <w:bCs/>
          <w:i w:val="false"/>
          <w:iCs w:val="false"/>
          <w:sz w:val="21"/>
          <w:szCs w:val="21"/>
        </w:rPr>
        <w:t xml:space="preserve">¿Se le está aplicando la cláusula de revisión del precio por variación del gasóleo?</w:t>
      </w:r>
      <w:r>
        <w:rPr>
          <w:rFonts w:ascii="Calibri" w:cs="Calibri" w:eastAsia="Calibri" w:hAnsi="Calibri"/>
          <w:b w:val="false"/>
          <w:bCs w:val="false"/>
          <w:i w:val="false"/>
          <w:iCs w:val="false"/>
          <w:sz w:val="21"/>
          <w:szCs w:val="21"/>
        </w:rPr>
        <w:t xml:space="preserve"> Es de aplicación obligatoria y debe figurar desglosada en la factura. Si no se está aplicando, estamos regalando margen (apartado 10.2).</w:t>
      </w:r>
    </w:p>
    <w:p>
      <w:pPr>
        <w:pStyle w:val="Heading2"/>
        <w:spacing w:after="120" w:before="260"/>
      </w:pPr>
      <w:r>
        <w:rPr>
          <w:rFonts w:ascii="Calibri" w:cs="Calibri" w:eastAsia="Calibri" w:hAnsi="Calibri"/>
          <w:b/>
          <w:bCs/>
          <w:color w:val="2E74B5"/>
          <w:sz w:val="24"/>
          <w:szCs w:val="24"/>
        </w:rPr>
        <w:t xml:space="preserve">5.3. Inventario 3 — Deuda pública y laboral</w:t>
      </w:r>
    </w:p>
    <w:p>
      <w:pPr>
        <w:spacing w:after="120" w:line="264"/>
        <w:jc w:val="both"/>
      </w:pPr>
      <w:r>
        <w:rPr>
          <w:rFonts w:ascii="Calibri" w:cs="Calibri" w:eastAsia="Calibri" w:hAnsi="Calibri"/>
          <w:b w:val="false"/>
          <w:bCs w:val="false"/>
          <w:i w:val="false"/>
          <w:iCs w:val="false"/>
          <w:sz w:val="21"/>
          <w:szCs w:val="21"/>
        </w:rPr>
        <w:t xml:space="preserve">Este es el inventario que no se puede improvisar, porque su impago tiene consecuencias que van más allá de lo comercial: recargos automáticos, embargos de cuentas y, en determinados supuestos, responsabilidad personal del administrador.</w:t>
      </w:r>
    </w:p>
    <w:tbl>
      <w:tblPr>
        <w:tblW w:type="dxa" w:w="9600"/>
        <w:tblBorders>
          <w:top w:val="single" w:color="BFBFBF" w:sz="4"/>
          <w:left w:val="single" w:color="BFBFBF" w:sz="4"/>
          <w:bottom w:val="single" w:color="BFBFBF" w:sz="4"/>
          <w:right w:val="single" w:color="BFBFBF" w:sz="4"/>
          <w:insideH w:val="single" w:color="D9D9D9" w:sz="2"/>
          <w:insideV w:val="single" w:color="D9D9D9" w:sz="2"/>
        </w:tblBorders>
      </w:tblPr>
      <w:tblGrid>
        <w:gridCol w:w="2700"/>
        <w:gridCol w:w="4900"/>
        <w:gridCol w:w="2000"/>
      </w:tblGrid>
      <w:tr>
        <w:trPr>
          <w:tblHeader/>
        </w:trPr>
        <w:tc>
          <w:tcPr>
            <w:tcW w:type="dxa" w:w="2700"/>
            <w:shd w:fill="1F3864"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color w:val="FFFFFF"/>
                <w:sz w:val="19"/>
                <w:szCs w:val="19"/>
              </w:rPr>
              <w:t xml:space="preserve">Concepto</w:t>
            </w:r>
          </w:p>
        </w:tc>
        <w:tc>
          <w:tcPr>
            <w:tcW w:type="dxa" w:w="4900"/>
            <w:shd w:fill="1F3864"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color w:val="FFFFFF"/>
                <w:sz w:val="19"/>
                <w:szCs w:val="19"/>
              </w:rPr>
              <w:t xml:space="preserve">Qué comprobar</w:t>
            </w:r>
          </w:p>
        </w:tc>
        <w:tc>
          <w:tcPr>
            <w:tcW w:type="dxa" w:w="2000"/>
            <w:shd w:fill="1F3864"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color w:val="FFFFFF"/>
                <w:sz w:val="19"/>
                <w:szCs w:val="19"/>
              </w:rPr>
              <w:t xml:space="preserve">Dónde</w:t>
            </w:r>
          </w:p>
        </w:tc>
      </w:tr>
      <w:tr>
        <w:tc>
          <w:tcPr>
            <w:tcW w:type="dxa" w:w="2700"/>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sz w:val="19"/>
                <w:szCs w:val="19"/>
              </w:rPr>
              <w:t xml:space="preserve">IVA (modelo 303)</w:t>
            </w:r>
          </w:p>
        </w:tc>
        <w:tc>
          <w:tcPr>
            <w:tcW w:type="dxa" w:w="4900"/>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Autoliquidaciones presentadas e importes pendientes; posibles aplazamientos en vigor.</w:t>
            </w:r>
          </w:p>
        </w:tc>
        <w:tc>
          <w:tcPr>
            <w:tcW w:type="dxa" w:w="2000"/>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Sede electrónica AEAT</w:t>
            </w:r>
          </w:p>
        </w:tc>
      </w:tr>
      <w:tr>
        <w:tc>
          <w:tcPr>
            <w:tcW w:type="dxa" w:w="27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sz w:val="19"/>
                <w:szCs w:val="19"/>
              </w:rPr>
              <w:t xml:space="preserve">Retenciones IRPF (modelos 111 / 115)</w:t>
            </w:r>
          </w:p>
        </w:tc>
        <w:tc>
          <w:tcPr>
            <w:tcW w:type="dxa" w:w="49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Son </w:t>
            </w:r>
            <w:r>
              <w:rPr>
                <w:rFonts w:ascii="Calibri" w:cs="Calibri" w:eastAsia="Calibri" w:hAnsi="Calibri"/>
                <w:b/>
                <w:bCs/>
                <w:i w:val="false"/>
                <w:iCs w:val="false"/>
                <w:sz w:val="19"/>
                <w:szCs w:val="19"/>
              </w:rPr>
              <w:t xml:space="preserve">dinero de terceros</w:t>
            </w:r>
            <w:r>
              <w:rPr>
                <w:rFonts w:ascii="Calibri" w:cs="Calibri" w:eastAsia="Calibri" w:hAnsi="Calibri"/>
                <w:b w:val="false"/>
                <w:bCs w:val="false"/>
                <w:i w:val="false"/>
                <w:iCs w:val="false"/>
                <w:sz w:val="19"/>
                <w:szCs w:val="19"/>
              </w:rPr>
              <w:t xml:space="preserve">: su impago es el más grave de todos los tributarios.</w:t>
            </w:r>
          </w:p>
        </w:tc>
        <w:tc>
          <w:tcPr>
            <w:tcW w:type="dxa" w:w="20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Sede electrónica AEAT</w:t>
            </w:r>
          </w:p>
        </w:tc>
      </w:tr>
      <w:tr>
        <w:tc>
          <w:tcPr>
            <w:tcW w:type="dxa" w:w="2700"/>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sz w:val="19"/>
                <w:szCs w:val="19"/>
              </w:rPr>
              <w:t xml:space="preserve">Impuesto de Sociedades y pagos fraccionados (202)</w:t>
            </w:r>
          </w:p>
        </w:tc>
        <w:tc>
          <w:tcPr>
            <w:tcW w:type="dxa" w:w="4900"/>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Deuda pendiente y calendario.</w:t>
            </w:r>
          </w:p>
        </w:tc>
        <w:tc>
          <w:tcPr>
            <w:tcW w:type="dxa" w:w="2000"/>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Sede electrónica AEAT</w:t>
            </w:r>
          </w:p>
        </w:tc>
      </w:tr>
      <w:tr>
        <w:tc>
          <w:tcPr>
            <w:tcW w:type="dxa" w:w="27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sz w:val="19"/>
                <w:szCs w:val="19"/>
              </w:rPr>
              <w:t xml:space="preserve">Seguridad Social (TGSS)</w:t>
            </w:r>
          </w:p>
        </w:tc>
        <w:tc>
          <w:tcPr>
            <w:tcW w:type="dxa" w:w="49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Cuotas pendientes, recargos, aplazamientos vigentes y situación de la cuenta de cotización.</w:t>
            </w:r>
          </w:p>
        </w:tc>
        <w:tc>
          <w:tcPr>
            <w:tcW w:type="dxa" w:w="20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Sistema RED / Sede TGSS</w:t>
            </w:r>
          </w:p>
        </w:tc>
      </w:tr>
      <w:tr>
        <w:tc>
          <w:tcPr>
            <w:tcW w:type="dxa" w:w="2700"/>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sz w:val="19"/>
                <w:szCs w:val="19"/>
              </w:rPr>
              <w:t xml:space="preserve">Nóminas</w:t>
            </w:r>
          </w:p>
        </w:tc>
        <w:tc>
          <w:tcPr>
            <w:tcW w:type="dxa" w:w="4900"/>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Retrasos, pagas extra devengadas, finiquitos pendientes, horas y dietas no abonadas.</w:t>
            </w:r>
          </w:p>
        </w:tc>
        <w:tc>
          <w:tcPr>
            <w:tcW w:type="dxa" w:w="2000"/>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Gestoría laboral</w:t>
            </w:r>
          </w:p>
        </w:tc>
      </w:tr>
      <w:tr>
        <w:tc>
          <w:tcPr>
            <w:tcW w:type="dxa" w:w="27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sz w:val="19"/>
                <w:szCs w:val="19"/>
              </w:rPr>
              <w:t xml:space="preserve">Certificados de estar al corriente</w:t>
            </w:r>
          </w:p>
        </w:tc>
        <w:tc>
          <w:tcPr>
            <w:tcW w:type="dxa" w:w="49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Su ausencia bloquea contratación pública, subvenciones y algunas líneas de financiación.</w:t>
            </w:r>
          </w:p>
        </w:tc>
        <w:tc>
          <w:tcPr>
            <w:tcW w:type="dxa" w:w="20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AEAT y TGSS</w:t>
            </w:r>
          </w:p>
        </w:tc>
      </w:tr>
    </w:tbl>
    <w:p>
      <w:pPr>
        <w:pStyle w:val="Heading2"/>
        <w:spacing w:after="120" w:before="260"/>
      </w:pPr>
      <w:r>
        <w:rPr>
          <w:rFonts w:ascii="Calibri" w:cs="Calibri" w:eastAsia="Calibri" w:hAnsi="Calibri"/>
          <w:b/>
          <w:bCs/>
          <w:color w:val="2E74B5"/>
          <w:sz w:val="24"/>
          <w:szCs w:val="24"/>
        </w:rPr>
        <w:t xml:space="preserve">5.4. Inventario 4 — Caja y capacidad de financiación</w:t>
      </w:r>
    </w:p>
    <w:p>
      <w:pPr>
        <w:pStyle w:val="ListParagraph"/>
        <w:numPr>
          <w:ilvl w:val="0"/>
          <w:numId w:val="3"/>
        </w:numPr>
        <w:spacing w:after="70" w:line="264"/>
        <w:jc w:val="both"/>
      </w:pPr>
      <w:r>
        <w:rPr>
          <w:rFonts w:ascii="Calibri" w:cs="Calibri" w:eastAsia="Calibri" w:hAnsi="Calibri"/>
          <w:b w:val="false"/>
          <w:bCs w:val="false"/>
          <w:i w:val="false"/>
          <w:iCs w:val="false"/>
          <w:sz w:val="21"/>
          <w:szCs w:val="21"/>
        </w:rPr>
        <w:t xml:space="preserve">Saldo real en todas las cuentas, hoy.</w:t>
      </w:r>
    </w:p>
    <w:p>
      <w:pPr>
        <w:pStyle w:val="ListParagraph"/>
        <w:numPr>
          <w:ilvl w:val="0"/>
          <w:numId w:val="3"/>
        </w:numPr>
        <w:spacing w:after="70" w:line="264"/>
        <w:jc w:val="both"/>
      </w:pPr>
      <w:r>
        <w:rPr>
          <w:rFonts w:ascii="Calibri" w:cs="Calibri" w:eastAsia="Calibri" w:hAnsi="Calibri"/>
          <w:b w:val="false"/>
          <w:bCs w:val="false"/>
          <w:i w:val="false"/>
          <w:iCs w:val="false"/>
          <w:sz w:val="21"/>
          <w:szCs w:val="21"/>
        </w:rPr>
        <w:t xml:space="preserve">Pólizas de crédito: límite concedido, dispuesto y disponible.</w:t>
      </w:r>
    </w:p>
    <w:p>
      <w:pPr>
        <w:pStyle w:val="ListParagraph"/>
        <w:numPr>
          <w:ilvl w:val="0"/>
          <w:numId w:val="3"/>
        </w:numPr>
        <w:spacing w:after="70" w:line="264"/>
        <w:jc w:val="both"/>
      </w:pPr>
      <w:r>
        <w:rPr>
          <w:rFonts w:ascii="Calibri" w:cs="Calibri" w:eastAsia="Calibri" w:hAnsi="Calibri"/>
          <w:b w:val="false"/>
          <w:bCs w:val="false"/>
          <w:i w:val="false"/>
          <w:iCs w:val="false"/>
          <w:sz w:val="21"/>
          <w:szCs w:val="21"/>
        </w:rPr>
        <w:t xml:space="preserve">Líneas de descuento o anticipo de facturas: límite y disponible.</w:t>
      </w:r>
    </w:p>
    <w:p>
      <w:pPr>
        <w:pStyle w:val="ListParagraph"/>
        <w:numPr>
          <w:ilvl w:val="0"/>
          <w:numId w:val="3"/>
        </w:numPr>
        <w:spacing w:after="70" w:line="264"/>
        <w:jc w:val="both"/>
      </w:pPr>
      <w:r>
        <w:rPr>
          <w:rFonts w:ascii="Calibri" w:cs="Calibri" w:eastAsia="Calibri" w:hAnsi="Calibri"/>
          <w:b w:val="false"/>
          <w:bCs w:val="false"/>
          <w:i w:val="false"/>
          <w:iCs w:val="false"/>
          <w:sz w:val="21"/>
          <w:szCs w:val="21"/>
        </w:rPr>
        <w:t xml:space="preserve">Leasing y renting: cuotas mensuales, vencimientos y valor residual de cada vehículo.</w:t>
      </w:r>
    </w:p>
    <w:p>
      <w:pPr>
        <w:pStyle w:val="ListParagraph"/>
        <w:numPr>
          <w:ilvl w:val="0"/>
          <w:numId w:val="3"/>
        </w:numPr>
        <w:spacing w:after="70" w:line="264"/>
        <w:jc w:val="both"/>
      </w:pPr>
      <w:r>
        <w:rPr>
          <w:rFonts w:ascii="Calibri" w:cs="Calibri" w:eastAsia="Calibri" w:hAnsi="Calibri"/>
          <w:b w:val="false"/>
          <w:bCs w:val="false"/>
          <w:i w:val="false"/>
          <w:iCs w:val="false"/>
          <w:sz w:val="21"/>
          <w:szCs w:val="21"/>
        </w:rPr>
        <w:t xml:space="preserve">Préstamos: cuota, capital pendiente, garantías y avales personales existentes.</w:t>
      </w:r>
    </w:p>
    <w:p>
      <w:pPr>
        <w:pStyle w:val="ListParagraph"/>
        <w:numPr>
          <w:ilvl w:val="0"/>
          <w:numId w:val="3"/>
        </w:numPr>
        <w:spacing w:after="70" w:line="264"/>
        <w:jc w:val="both"/>
      </w:pPr>
      <w:r>
        <w:rPr>
          <w:rFonts w:ascii="Calibri" w:cs="Calibri" w:eastAsia="Calibri" w:hAnsi="Calibri"/>
          <w:b w:val="false"/>
          <w:bCs w:val="false"/>
          <w:i w:val="false"/>
          <w:iCs w:val="false"/>
          <w:sz w:val="21"/>
          <w:szCs w:val="21"/>
        </w:rPr>
        <w:t xml:space="preserve">Devoluciones pendientes de cobro de la AEAT (gasóleo profesional, ayudas al carburante, IVA a devolver).</w:t>
      </w:r>
    </w:p>
    <w:tbl>
      <w:tblPr>
        <w:tblW w:type="dxa" w:w="9600"/>
        <w:tblBorders>
          <w:top w:val="single" w:color="FFE699" w:sz="2"/>
          <w:left w:val="single" w:color="2E74B5" w:sz="18"/>
          <w:bottom w:val="single" w:color="FFE699" w:sz="2"/>
          <w:right w:val="single" w:color="FFE699" w:sz="2"/>
          <w:insideH w:val="none"/>
          <w:insideV w:val="none"/>
        </w:tblBorders>
      </w:tblPr>
      <w:tblGrid>
        <w:gridCol w:w="9600"/>
      </w:tblGrid>
      <w:tr>
        <w:tc>
          <w:tcPr>
            <w:tcW w:type="dxa" w:w="9600"/>
            <w:shd w:fill="FFE699" w:color="auto" w:val="clear"/>
            <w:tcMar>
              <w:top w:type="dxa" w:w="140"/>
              <w:left w:type="dxa" w:w="200"/>
              <w:bottom w:type="dxa" w:w="140"/>
              <w:right w:type="dxa" w:w="200"/>
            </w:tcMar>
          </w:tcPr>
          <w:p>
            <w:pPr>
              <w:spacing w:after="80" w:before="40"/>
            </w:pPr>
            <w:r>
              <w:rPr>
                <w:rFonts w:ascii="Calibri" w:cs="Calibri" w:eastAsia="Calibri" w:hAnsi="Calibri"/>
                <w:b/>
                <w:bCs/>
                <w:i w:val="false"/>
                <w:iCs w:val="false"/>
                <w:color w:val="1F3864"/>
                <w:sz w:val="21"/>
                <w:szCs w:val="21"/>
              </w:rPr>
              <w:t xml:space="preserve">Regla de oro de esta fase</w:t>
            </w:r>
          </w:p>
          <w:p>
            <w:pPr>
              <w:spacing w:after="60" w:line="252"/>
              <w:jc w:val="both"/>
            </w:pPr>
            <w:r>
              <w:rPr>
                <w:rFonts w:ascii="Calibri" w:cs="Calibri" w:eastAsia="Calibri" w:hAnsi="Calibri"/>
                <w:b w:val="false"/>
                <w:bCs w:val="false"/>
                <w:i w:val="false"/>
                <w:iCs w:val="false"/>
                <w:sz w:val="20"/>
                <w:szCs w:val="20"/>
              </w:rPr>
              <w:t xml:space="preserve">Si un dato no está disponible, </w:t>
            </w:r>
            <w:r>
              <w:rPr>
                <w:rFonts w:ascii="Calibri" w:cs="Calibri" w:eastAsia="Calibri" w:hAnsi="Calibri"/>
                <w:b/>
                <w:bCs/>
                <w:i w:val="false"/>
                <w:iCs w:val="false"/>
                <w:sz w:val="20"/>
                <w:szCs w:val="20"/>
              </w:rPr>
              <w:t xml:space="preserve">se estima y se marca en rojo</w:t>
            </w:r>
            <w:r>
              <w:rPr>
                <w:rFonts w:ascii="Calibri" w:cs="Calibri" w:eastAsia="Calibri" w:hAnsi="Calibri"/>
                <w:b w:val="false"/>
                <w:bCs w:val="false"/>
                <w:i w:val="false"/>
                <w:iCs w:val="false"/>
                <w:sz w:val="20"/>
                <w:szCs w:val="20"/>
              </w:rPr>
              <w:t xml:space="preserve"> para completarlo después. Un plan con estimaciones señaladas es infinitamente más útil que ningún plan a la espera del dato perfecto. La foto se mejora cada semana; lo que no se puede es seguir decidiendo a ciegas.</w:t>
            </w:r>
          </w:p>
        </w:tc>
      </w:tr>
    </w:tbl>
    <w:p>
      <w:pPr>
        <w:pStyle w:val="Heading1"/>
        <w:pageBreakBefore/>
        <w:pBdr>
          <w:bottom w:val="single" w:color="2E74B5" w:sz="8" w:space="6"/>
        </w:pBdr>
        <w:spacing w:after="180" w:before="240"/>
      </w:pPr>
      <w:r>
        <w:rPr>
          <w:rFonts w:ascii="Calibri" w:cs="Calibri" w:eastAsia="Calibri" w:hAnsi="Calibri"/>
          <w:b/>
          <w:bCs/>
          <w:color w:val="1F3864"/>
          <w:sz w:val="30"/>
          <w:szCs w:val="30"/>
        </w:rPr>
        <w:t xml:space="preserve">6. Fase 2: matriz de criticidad de proveedores</w:t>
      </w:r>
    </w:p>
    <w:p>
      <w:pPr>
        <w:spacing w:after="120" w:line="264"/>
        <w:jc w:val="both"/>
      </w:pPr>
      <w:r>
        <w:rPr>
          <w:rFonts w:ascii="Calibri" w:cs="Calibri" w:eastAsia="Calibri" w:hAnsi="Calibri"/>
          <w:b w:val="false"/>
          <w:bCs w:val="false"/>
          <w:i w:val="false"/>
          <w:iCs w:val="false"/>
          <w:sz w:val="21"/>
          <w:szCs w:val="21"/>
        </w:rPr>
        <w:t xml:space="preserve">No todos los proveedores tienen el mismo efecto sobre la empresa si dejan de suministrar. Clasificarlos no es una cuestión de simpatía ni de antigüedad: es una decisión de continuidad del negocio. La clasificación se hace sobre dos ejes.</w:t>
      </w:r>
    </w:p>
    <w:tbl>
      <w:tblPr>
        <w:tblW w:type="dxa" w:w="9600"/>
        <w:tblBorders>
          <w:top w:val="single" w:color="BFBFBF" w:sz="4"/>
          <w:left w:val="single" w:color="BFBFBF" w:sz="4"/>
          <w:bottom w:val="single" w:color="BFBFBF" w:sz="4"/>
          <w:right w:val="single" w:color="BFBFBF" w:sz="4"/>
          <w:insideH w:val="single" w:color="D9D9D9" w:sz="2"/>
          <w:insideV w:val="single" w:color="D9D9D9" w:sz="2"/>
        </w:tblBorders>
      </w:tblPr>
      <w:tblGrid>
        <w:gridCol w:w="2400"/>
        <w:gridCol w:w="7200"/>
      </w:tblGrid>
      <w:tr>
        <w:trPr>
          <w:tblHeader/>
        </w:trPr>
        <w:tc>
          <w:tcPr>
            <w:tcW w:type="dxa" w:w="2400"/>
            <w:shd w:fill="1F3864"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color w:val="FFFFFF"/>
                <w:sz w:val="19"/>
                <w:szCs w:val="19"/>
              </w:rPr>
              <w:t xml:space="preserve">Eje</w:t>
            </w:r>
          </w:p>
        </w:tc>
        <w:tc>
          <w:tcPr>
            <w:tcW w:type="dxa" w:w="7200"/>
            <w:shd w:fill="1F3864"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color w:val="FFFFFF"/>
                <w:sz w:val="19"/>
                <w:szCs w:val="19"/>
              </w:rPr>
              <w:t xml:space="preserve">Pregunta que hay que hacerse</w:t>
            </w:r>
          </w:p>
        </w:tc>
      </w:tr>
      <w:tr>
        <w:tc>
          <w:tcPr>
            <w:tcW w:type="dxa" w:w="2400"/>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sz w:val="19"/>
                <w:szCs w:val="19"/>
              </w:rPr>
              <w:t xml:space="preserve">Impacto operativo</w:t>
            </w:r>
          </w:p>
        </w:tc>
        <w:tc>
          <w:tcPr>
            <w:tcW w:type="dxa" w:w="7200"/>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¿Qué pasa si mañana deja de suministrarnos? ¿Paran camiones? ¿En cuánto tiempo se puede sustituir y a qué coste?</w:t>
            </w:r>
          </w:p>
        </w:tc>
      </w:tr>
      <w:tr>
        <w:tc>
          <w:tcPr>
            <w:tcW w:type="dxa" w:w="24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sz w:val="19"/>
                <w:szCs w:val="19"/>
              </w:rPr>
              <w:t xml:space="preserve">Riesgo de escalada</w:t>
            </w:r>
          </w:p>
        </w:tc>
        <w:tc>
          <w:tcPr>
            <w:tcW w:type="dxa" w:w="72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¿Qué probabilidad hay de reclamación judicial, burofax o embargo? ¿Tiene la deuda documentada y vencida?</w:t>
            </w:r>
          </w:p>
        </w:tc>
      </w:tr>
    </w:tbl>
    <w:p>
      <w:pPr>
        <w:pStyle w:val="Heading2"/>
        <w:spacing w:after="120" w:before="260"/>
      </w:pPr>
      <w:r>
        <w:rPr>
          <w:rFonts w:ascii="Calibri" w:cs="Calibri" w:eastAsia="Calibri" w:hAnsi="Calibri"/>
          <w:b/>
          <w:bCs/>
          <w:color w:val="2E74B5"/>
          <w:sz w:val="24"/>
          <w:szCs w:val="24"/>
        </w:rPr>
        <w:t xml:space="preserve">6.1. Los tres niveles del semáforo</w:t>
      </w:r>
    </w:p>
    <w:tbl>
      <w:tblPr>
        <w:tblW w:type="dxa" w:w="9600"/>
        <w:tblBorders>
          <w:top w:val="single" w:color="BFBFBF" w:sz="4"/>
          <w:left w:val="single" w:color="BFBFBF" w:sz="4"/>
          <w:bottom w:val="single" w:color="BFBFBF" w:sz="4"/>
          <w:right w:val="single" w:color="BFBFBF" w:sz="4"/>
          <w:insideH w:val="single" w:color="D9D9D9" w:sz="2"/>
          <w:insideV w:val="single" w:color="D9D9D9" w:sz="2"/>
        </w:tblBorders>
      </w:tblPr>
      <w:tblGrid>
        <w:gridCol w:w="1500"/>
        <w:gridCol w:w="4700"/>
        <w:gridCol w:w="3400"/>
      </w:tblGrid>
      <w:tr>
        <w:trPr>
          <w:tblHeader/>
        </w:trPr>
        <w:tc>
          <w:tcPr>
            <w:tcW w:type="dxa" w:w="1500"/>
            <w:shd w:fill="1F3864"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color w:val="FFFFFF"/>
                <w:sz w:val="19"/>
                <w:szCs w:val="19"/>
              </w:rPr>
              <w:t xml:space="preserve">Nivel</w:t>
            </w:r>
          </w:p>
        </w:tc>
        <w:tc>
          <w:tcPr>
            <w:tcW w:type="dxa" w:w="4700"/>
            <w:shd w:fill="1F3864"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color w:val="FFFFFF"/>
                <w:sz w:val="19"/>
                <w:szCs w:val="19"/>
              </w:rPr>
              <w:t xml:space="preserve">Quién entra aquí</w:t>
            </w:r>
          </w:p>
        </w:tc>
        <w:tc>
          <w:tcPr>
            <w:tcW w:type="dxa" w:w="3400"/>
            <w:shd w:fill="1F3864"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color w:val="FFFFFF"/>
                <w:sz w:val="19"/>
                <w:szCs w:val="19"/>
              </w:rPr>
              <w:t xml:space="preserve">Política de pago</w:t>
            </w:r>
          </w:p>
        </w:tc>
      </w:tr>
      <w:tr>
        <w:tc>
          <w:tcPr>
            <w:tcW w:type="dxa" w:w="1500"/>
            <w:shd w:fill="F8CBAD"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sz w:val="19"/>
                <w:szCs w:val="19"/>
              </w:rPr>
              <w:t xml:space="preserve">ROJO
Vitales</w:t>
            </w:r>
          </w:p>
        </w:tc>
        <w:tc>
          <w:tcPr>
            <w:tcW w:type="dxa" w:w="4700"/>
            <w:shd w:fill="F8CBAD"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Gasoil y tarjetas de combustible · Nóminas y Seguridad Social · Retenciones de IRPF · Seguros obligatorios y de flota · Mantenimiento crítico, neumáticos e ITV · Peajes · Financiación de vehículos (leasing/renting)</w:t>
            </w:r>
          </w:p>
        </w:tc>
        <w:tc>
          <w:tcPr>
            <w:tcW w:type="dxa" w:w="3400"/>
            <w:shd w:fill="F8CBAD"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sz w:val="19"/>
                <w:szCs w:val="19"/>
              </w:rPr>
              <w:t xml:space="preserve">Nunca entran en impago.</w:t>
            </w:r>
            <w:r>
              <w:rPr>
                <w:rFonts w:ascii="Calibri" w:cs="Calibri" w:eastAsia="Calibri" w:hAnsi="Calibri"/>
                <w:b w:val="false"/>
                <w:bCs w:val="false"/>
                <w:i w:val="false"/>
                <w:iCs w:val="false"/>
                <w:sz w:val="19"/>
                <w:szCs w:val="19"/>
              </w:rPr>
              <w:t xml:space="preserve"> Si no se puede pagar a vencimiento, se renegocia ANTES de que venza, nunca después.</w:t>
            </w:r>
          </w:p>
        </w:tc>
      </w:tr>
      <w:tr>
        <w:tc>
          <w:tcPr>
            <w:tcW w:type="dxa" w:w="1500"/>
            <w:shd w:fill="FFE699"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sz w:val="19"/>
                <w:szCs w:val="19"/>
              </w:rPr>
              <w:t xml:space="preserve">ÁMBAR
Importantes sustituibles</w:t>
            </w:r>
          </w:p>
        </w:tc>
        <w:tc>
          <w:tcPr>
            <w:tcW w:type="dxa" w:w="4700"/>
            <w:shd w:fill="FFE699"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Talleres no exclusivos · Recambios · Alquiler de nave u oficina · Telefonía y telemática · Gestoría y asesoría · Servicios profesionales recurrentes</w:t>
            </w:r>
          </w:p>
        </w:tc>
        <w:tc>
          <w:tcPr>
            <w:tcW w:type="dxa" w:w="3400"/>
            <w:shd w:fill="FFE699"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Calendario de pagos negociado y documentado. Pagos parciales regulares y cumplidos.</w:t>
            </w:r>
          </w:p>
        </w:tc>
      </w:tr>
      <w:tr>
        <w:tc>
          <w:tcPr>
            <w:tcW w:type="dxa" w:w="1500"/>
            <w:shd w:fill="C6E0B4"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sz w:val="19"/>
                <w:szCs w:val="19"/>
              </w:rPr>
              <w:t xml:space="preserve">VERDE
Aplazables</w:t>
            </w:r>
          </w:p>
        </w:tc>
        <w:tc>
          <w:tcPr>
            <w:tcW w:type="dxa" w:w="4700"/>
            <w:shd w:fill="C6E0B4"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Compras discrecionales · Formación no obligatoria · Publicidad y marketing · Mejoras e inversiones no críticas · Suministros no esenciales</w:t>
            </w:r>
          </w:p>
        </w:tc>
        <w:tc>
          <w:tcPr>
            <w:tcW w:type="dxa" w:w="3400"/>
            <w:shd w:fill="C6E0B4"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Se congela lo que no esté comprometido. Lo comprometido se renegocia al plazo más largo posible.</w:t>
            </w:r>
          </w:p>
        </w:tc>
      </w:tr>
    </w:tbl>
    <w:p>
      <w:pPr>
        <w:pStyle w:val="Heading2"/>
        <w:spacing w:after="120" w:before="260"/>
      </w:pPr>
      <w:r>
        <w:rPr>
          <w:rFonts w:ascii="Calibri" w:cs="Calibri" w:eastAsia="Calibri" w:hAnsi="Calibri"/>
          <w:b/>
          <w:bCs/>
          <w:color w:val="2E74B5"/>
          <w:sz w:val="24"/>
          <w:szCs w:val="24"/>
        </w:rPr>
        <w:t xml:space="preserve">6.2. Dos matices importantes</w:t>
      </w:r>
    </w:p>
    <w:p>
      <w:pPr>
        <w:spacing w:after="120" w:line="264"/>
        <w:jc w:val="both"/>
      </w:pPr>
      <w:r>
        <w:rPr>
          <w:rFonts w:ascii="Calibri" w:cs="Calibri" w:eastAsia="Calibri" w:hAnsi="Calibri"/>
          <w:b/>
          <w:bCs/>
          <w:i w:val="false"/>
          <w:iCs w:val="false"/>
          <w:sz w:val="21"/>
          <w:szCs w:val="21"/>
        </w:rPr>
        <w:t xml:space="preserve">Concentración.</w:t>
      </w:r>
      <w:r>
        <w:rPr>
          <w:rFonts w:ascii="Calibri" w:cs="Calibri" w:eastAsia="Calibri" w:hAnsi="Calibri"/>
          <w:b w:val="false"/>
          <w:bCs w:val="false"/>
          <w:i w:val="false"/>
          <w:iCs w:val="false"/>
          <w:sz w:val="21"/>
          <w:szCs w:val="21"/>
        </w:rPr>
        <w:t xml:space="preserve"> Hay que identificar a los proveedores que concentren más del 15 % de la deuda total. Ese grupo —casi con seguridad encabezado por el gasoil— no se negocia desde administración: lo negocia Jennifer personalmente, porque el interlocutor esperará hablar con quien decide y porque el resultado condiciona todo lo demás.</w:t>
      </w:r>
    </w:p>
    <w:p>
      <w:pPr>
        <w:spacing w:after="120" w:line="264"/>
        <w:jc w:val="both"/>
      </w:pPr>
      <w:r>
        <w:rPr>
          <w:rFonts w:ascii="Calibri" w:cs="Calibri" w:eastAsia="Calibri" w:hAnsi="Calibri"/>
          <w:b/>
          <w:bCs/>
          <w:i w:val="false"/>
          <w:iCs w:val="false"/>
          <w:sz w:val="21"/>
          <w:szCs w:val="21"/>
        </w:rPr>
        <w:t xml:space="preserve">Un proveedor puede cambiar de color.</w:t>
      </w:r>
      <w:r>
        <w:rPr>
          <w:rFonts w:ascii="Calibri" w:cs="Calibri" w:eastAsia="Calibri" w:hAnsi="Calibri"/>
          <w:b w:val="false"/>
          <w:bCs w:val="false"/>
          <w:i w:val="false"/>
          <w:iCs w:val="false"/>
          <w:sz w:val="21"/>
          <w:szCs w:val="21"/>
        </w:rPr>
        <w:t xml:space="preserve"> Un acreedor ámbar que presenta un monitorio pasa a rojo por riesgo de escalada, aunque su servicio sea sustituible. La matriz se revisa cada semana en el comité de pagos.</w:t>
      </w:r>
    </w:p>
    <w:p>
      <w:pPr>
        <w:pStyle w:val="Heading1"/>
        <w:pageBreakBefore/>
        <w:pBdr>
          <w:bottom w:val="single" w:color="2E74B5" w:sz="8" w:space="6"/>
        </w:pBdr>
        <w:spacing w:after="180" w:before="240"/>
      </w:pPr>
      <w:r>
        <w:rPr>
          <w:rFonts w:ascii="Calibri" w:cs="Calibri" w:eastAsia="Calibri" w:hAnsi="Calibri"/>
          <w:b/>
          <w:bCs/>
          <w:color w:val="1F3864"/>
          <w:sz w:val="30"/>
          <w:szCs w:val="30"/>
        </w:rPr>
        <w:t xml:space="preserve">7. Fase 3: reglas de prelación de pagos</w:t>
      </w:r>
    </w:p>
    <w:p>
      <w:pPr>
        <w:spacing w:after="120" w:line="264"/>
        <w:jc w:val="both"/>
      </w:pPr>
      <w:r>
        <w:rPr>
          <w:rFonts w:ascii="Calibri" w:cs="Calibri" w:eastAsia="Calibri" w:hAnsi="Calibri"/>
          <w:b w:val="false"/>
          <w:bCs w:val="false"/>
          <w:i w:val="false"/>
          <w:iCs w:val="false"/>
          <w:sz w:val="21"/>
          <w:szCs w:val="21"/>
        </w:rPr>
        <w:t xml:space="preserve">Esta es la pieza central del plan y la que de verdad libera a la Dirección: </w:t>
      </w:r>
      <w:r>
        <w:rPr>
          <w:rFonts w:ascii="Calibri" w:cs="Calibri" w:eastAsia="Calibri" w:hAnsi="Calibri"/>
          <w:b/>
          <w:bCs/>
          <w:i w:val="false"/>
          <w:iCs w:val="false"/>
          <w:sz w:val="21"/>
          <w:szCs w:val="21"/>
        </w:rPr>
        <w:t xml:space="preserve">el orden de pago no lo decide quién llama, lo decide una regla escrita y aprobada.</w:t>
      </w:r>
      <w:r>
        <w:rPr>
          <w:rFonts w:ascii="Calibri" w:cs="Calibri" w:eastAsia="Calibri" w:hAnsi="Calibri"/>
          <w:b w:val="false"/>
          <w:bCs w:val="false"/>
          <w:i w:val="false"/>
          <w:iCs w:val="false"/>
          <w:sz w:val="21"/>
          <w:szCs w:val="21"/>
        </w:rPr>
        <w:t xml:space="preserve"> A partir de su aprobación, administración puede responder a cualquier proveedor sin consultar, porque la respuesta ya está decidida.</w:t>
      </w:r>
    </w:p>
    <w:p>
      <w:pPr>
        <w:pStyle w:val="Heading2"/>
        <w:spacing w:after="120" w:before="260"/>
      </w:pPr>
      <w:r>
        <w:rPr>
          <w:rFonts w:ascii="Calibri" w:cs="Calibri" w:eastAsia="Calibri" w:hAnsi="Calibri"/>
          <w:b/>
          <w:bCs/>
          <w:color w:val="2E74B5"/>
          <w:sz w:val="24"/>
          <w:szCs w:val="24"/>
        </w:rPr>
        <w:t xml:space="preserve">7.1. La escalera de prelación</w:t>
      </w:r>
    </w:p>
    <w:p>
      <w:pPr>
        <w:spacing w:after="120" w:line="264"/>
        <w:jc w:val="both"/>
      </w:pPr>
      <w:r>
        <w:rPr>
          <w:rFonts w:ascii="Calibri" w:cs="Calibri" w:eastAsia="Calibri" w:hAnsi="Calibri"/>
          <w:b w:val="false"/>
          <w:bCs w:val="false"/>
          <w:i w:val="false"/>
          <w:iCs w:val="false"/>
          <w:sz w:val="21"/>
          <w:szCs w:val="21"/>
        </w:rPr>
        <w:t xml:space="preserve">Cuando la caja no llega para todo —que es la situación actual—, se paga de arriba abajo. No se baja al nivel siguiente hasta que el anterior está cubierto.</w:t>
      </w:r>
    </w:p>
    <w:tbl>
      <w:tblPr>
        <w:tblW w:type="dxa" w:w="9600"/>
        <w:tblBorders>
          <w:top w:val="single" w:color="BFBFBF" w:sz="4"/>
          <w:left w:val="single" w:color="BFBFBF" w:sz="4"/>
          <w:bottom w:val="single" w:color="BFBFBF" w:sz="4"/>
          <w:right w:val="single" w:color="BFBFBF" w:sz="4"/>
          <w:insideH w:val="single" w:color="D9D9D9" w:sz="2"/>
          <w:insideV w:val="single" w:color="D9D9D9" w:sz="2"/>
        </w:tblBorders>
      </w:tblPr>
      <w:tblGrid>
        <w:gridCol w:w="700"/>
        <w:gridCol w:w="3900"/>
        <w:gridCol w:w="5000"/>
      </w:tblGrid>
      <w:tr>
        <w:trPr>
          <w:tblHeader/>
        </w:trPr>
        <w:tc>
          <w:tcPr>
            <w:tcW w:type="dxa" w:w="700"/>
            <w:shd w:fill="1F3864"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color w:val="FFFFFF"/>
                <w:sz w:val="19"/>
                <w:szCs w:val="19"/>
              </w:rPr>
              <w:t xml:space="preserve">Nivel</w:t>
            </w:r>
          </w:p>
        </w:tc>
        <w:tc>
          <w:tcPr>
            <w:tcW w:type="dxa" w:w="3900"/>
            <w:shd w:fill="1F3864"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color w:val="FFFFFF"/>
                <w:sz w:val="19"/>
                <w:szCs w:val="19"/>
              </w:rPr>
              <w:t xml:space="preserve">Concepto</w:t>
            </w:r>
          </w:p>
        </w:tc>
        <w:tc>
          <w:tcPr>
            <w:tcW w:type="dxa" w:w="5000"/>
            <w:shd w:fill="1F3864"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color w:val="FFFFFF"/>
                <w:sz w:val="19"/>
                <w:szCs w:val="19"/>
              </w:rPr>
              <w:t xml:space="preserve">Por qué va aquí</w:t>
            </w:r>
          </w:p>
        </w:tc>
      </w:tr>
      <w:tr>
        <w:tc>
          <w:tcPr>
            <w:tcW w:type="dxa" w:w="700"/>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1</w:t>
            </w:r>
          </w:p>
        </w:tc>
        <w:tc>
          <w:tcPr>
            <w:tcW w:type="dxa" w:w="3900"/>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sz w:val="19"/>
                <w:szCs w:val="19"/>
              </w:rPr>
              <w:t xml:space="preserve">Nóminas y cotizaciones a la Seguridad Social</w:t>
            </w:r>
          </w:p>
        </w:tc>
        <w:tc>
          <w:tcPr>
            <w:tcW w:type="dxa" w:w="5000"/>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Los salarios son crédito privilegiado y su impago abre conflicto laboral inmediato, además de recargos sobre las cuotas (del 10 % al 20 %). Sin conductores no hay flota: es también una decisión operativa, no solo ética o legal.</w:t>
            </w:r>
          </w:p>
        </w:tc>
      </w:tr>
      <w:tr>
        <w:tc>
          <w:tcPr>
            <w:tcW w:type="dxa" w:w="7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2</w:t>
            </w:r>
          </w:p>
        </w:tc>
        <w:tc>
          <w:tcPr>
            <w:tcW w:type="dxa" w:w="39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sz w:val="19"/>
                <w:szCs w:val="19"/>
              </w:rPr>
              <w:t xml:space="preserve">Retenciones e impuestos repercutidos (IRPF e IVA)</w:t>
            </w:r>
          </w:p>
        </w:tc>
        <w:tc>
          <w:tcPr>
            <w:tcW w:type="dxa" w:w="50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Es dinero de terceros que la empresa solo custodia. Su impago genera recargos y, en importes elevados, riesgo penal. Si no se puede pagar, </w:t>
            </w:r>
            <w:r>
              <w:rPr>
                <w:rFonts w:ascii="Calibri" w:cs="Calibri" w:eastAsia="Calibri" w:hAnsi="Calibri"/>
                <w:b/>
                <w:bCs/>
                <w:i w:val="false"/>
                <w:iCs w:val="false"/>
                <w:sz w:val="19"/>
                <w:szCs w:val="19"/>
              </w:rPr>
              <w:t xml:space="preserve">se aplaza formalmente</w:t>
            </w:r>
            <w:r>
              <w:rPr>
                <w:rFonts w:ascii="Calibri" w:cs="Calibri" w:eastAsia="Calibri" w:hAnsi="Calibri"/>
                <w:b w:val="false"/>
                <w:bCs w:val="false"/>
                <w:i w:val="false"/>
                <w:iCs w:val="false"/>
                <w:sz w:val="19"/>
                <w:szCs w:val="19"/>
              </w:rPr>
              <w:t xml:space="preserve"> (apartado 10.5): lo que no se puede hacer es usarlo como circulante de forma indefinida.</w:t>
            </w:r>
          </w:p>
        </w:tc>
      </w:tr>
      <w:tr>
        <w:tc>
          <w:tcPr>
            <w:tcW w:type="dxa" w:w="700"/>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3</w:t>
            </w:r>
          </w:p>
        </w:tc>
        <w:tc>
          <w:tcPr>
            <w:tcW w:type="dxa" w:w="3900"/>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sz w:val="19"/>
                <w:szCs w:val="19"/>
              </w:rPr>
              <w:t xml:space="preserve">Gasoil y suministros sin los que no hay actividad</w:t>
            </w:r>
          </w:p>
        </w:tc>
        <w:tc>
          <w:tcPr>
            <w:tcW w:type="dxa" w:w="5000"/>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Es la condición de existencia. Cada euro no pagado aquí puede costar la facturación de una semana entera.</w:t>
            </w:r>
          </w:p>
        </w:tc>
      </w:tr>
      <w:tr>
        <w:tc>
          <w:tcPr>
            <w:tcW w:type="dxa" w:w="7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4</w:t>
            </w:r>
          </w:p>
        </w:tc>
        <w:tc>
          <w:tcPr>
            <w:tcW w:type="dxa" w:w="39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sz w:val="19"/>
                <w:szCs w:val="19"/>
              </w:rPr>
              <w:t xml:space="preserve">Seguros, mantenimiento, ITV, tacógrafo y peajes</w:t>
            </w:r>
          </w:p>
        </w:tc>
        <w:tc>
          <w:tcPr>
            <w:tcW w:type="dxa" w:w="50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Su impago convierte un problema financiero en un problema de legalidad y de seguridad. Un vehículo sin seguro en vigor es una exposición patrimonial ilimitada; sin ITV o sin mantenimiento, es una sanción y una inmovilización.</w:t>
            </w:r>
          </w:p>
        </w:tc>
      </w:tr>
      <w:tr>
        <w:tc>
          <w:tcPr>
            <w:tcW w:type="dxa" w:w="700"/>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5</w:t>
            </w:r>
          </w:p>
        </w:tc>
        <w:tc>
          <w:tcPr>
            <w:tcW w:type="dxa" w:w="3900"/>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sz w:val="19"/>
                <w:szCs w:val="19"/>
              </w:rPr>
              <w:t xml:space="preserve">Financiación con garantía real (leasing y renting de vehículos)</w:t>
            </w:r>
          </w:p>
        </w:tc>
        <w:tc>
          <w:tcPr>
            <w:tcW w:type="dxa" w:w="5000"/>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El impago faculta a resolver el contrato y retirar el vehículo, es decir, destruye el activo que genera los ingresos.</w:t>
            </w:r>
          </w:p>
        </w:tc>
      </w:tr>
      <w:tr>
        <w:tc>
          <w:tcPr>
            <w:tcW w:type="dxa" w:w="7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6</w:t>
            </w:r>
          </w:p>
        </w:tc>
        <w:tc>
          <w:tcPr>
            <w:tcW w:type="dxa" w:w="39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sz w:val="19"/>
                <w:szCs w:val="19"/>
              </w:rPr>
              <w:t xml:space="preserve">Resto de acreedores comerciales</w:t>
            </w:r>
          </w:p>
        </w:tc>
        <w:tc>
          <w:tcPr>
            <w:tcW w:type="dxa" w:w="50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Se atienden mediante calendario negociado, pagos parciales y compromisos cumplidos.</w:t>
            </w:r>
          </w:p>
        </w:tc>
      </w:tr>
    </w:tbl>
    <w:p>
      <w:pPr>
        <w:pStyle w:val="Heading2"/>
        <w:spacing w:after="120" w:before="260"/>
      </w:pPr>
      <w:r>
        <w:rPr>
          <w:rFonts w:ascii="Calibri" w:cs="Calibri" w:eastAsia="Calibri" w:hAnsi="Calibri"/>
          <w:b/>
          <w:bCs/>
          <w:color w:val="2E74B5"/>
          <w:sz w:val="24"/>
          <w:szCs w:val="24"/>
        </w:rPr>
        <w:t xml:space="preserve">7.2. Cómo repartir cuando no llega para un nivel completo</w:t>
      </w:r>
    </w:p>
    <w:p>
      <w:pPr>
        <w:pStyle w:val="ListParagraph"/>
        <w:numPr>
          <w:ilvl w:val="0"/>
          <w:numId w:val="3"/>
        </w:numPr>
        <w:spacing w:after="70" w:line="264"/>
        <w:jc w:val="both"/>
      </w:pPr>
      <w:r>
        <w:rPr>
          <w:rFonts w:ascii="Calibri" w:cs="Calibri" w:eastAsia="Calibri" w:hAnsi="Calibri"/>
          <w:b/>
          <w:bCs/>
          <w:i w:val="false"/>
          <w:iCs w:val="false"/>
          <w:sz w:val="21"/>
          <w:szCs w:val="21"/>
        </w:rPr>
        <w:t xml:space="preserve">Reparto proporcional dentro del nivel.</w:t>
      </w:r>
      <w:r>
        <w:rPr>
          <w:rFonts w:ascii="Calibri" w:cs="Calibri" w:eastAsia="Calibri" w:hAnsi="Calibri"/>
          <w:b w:val="false"/>
          <w:bCs w:val="false"/>
          <w:i w:val="false"/>
          <w:iCs w:val="false"/>
          <w:sz w:val="21"/>
          <w:szCs w:val="21"/>
        </w:rPr>
        <w:t xml:space="preserve"> Si en el nivel 6 hay 40.000 € de deuda y solo 8.000 € disponibles, se reparte a prorrata (20 % a cada uno) y se comunica así. Es defendible, es transparente y evita agravios comparativos.</w:t>
      </w:r>
    </w:p>
    <w:p>
      <w:pPr>
        <w:pStyle w:val="ListParagraph"/>
        <w:numPr>
          <w:ilvl w:val="0"/>
          <w:numId w:val="3"/>
        </w:numPr>
        <w:spacing w:after="70" w:line="264"/>
        <w:jc w:val="both"/>
      </w:pPr>
      <w:r>
        <w:rPr>
          <w:rFonts w:ascii="Calibri" w:cs="Calibri" w:eastAsia="Calibri" w:hAnsi="Calibri"/>
          <w:b/>
          <w:bCs/>
          <w:i w:val="false"/>
          <w:iCs w:val="false"/>
          <w:sz w:val="21"/>
          <w:szCs w:val="21"/>
        </w:rPr>
        <w:t xml:space="preserve">Pago mínimo de buena fe.</w:t>
      </w:r>
      <w:r>
        <w:rPr>
          <w:rFonts w:ascii="Calibri" w:cs="Calibri" w:eastAsia="Calibri" w:hAnsi="Calibri"/>
          <w:b w:val="false"/>
          <w:bCs w:val="false"/>
          <w:i w:val="false"/>
          <w:iCs w:val="false"/>
          <w:sz w:val="21"/>
          <w:szCs w:val="21"/>
        </w:rPr>
        <w:t xml:space="preserve"> Un pago pequeño pero puntual y regular mantiene viva la relación y detiene la escalada mucho mejor que un silencio seguido de un pago grande.</w:t>
      </w:r>
    </w:p>
    <w:p>
      <w:pPr>
        <w:pStyle w:val="ListParagraph"/>
        <w:numPr>
          <w:ilvl w:val="0"/>
          <w:numId w:val="3"/>
        </w:numPr>
        <w:spacing w:after="70" w:line="264"/>
        <w:jc w:val="both"/>
      </w:pPr>
      <w:r>
        <w:rPr>
          <w:rFonts w:ascii="Calibri" w:cs="Calibri" w:eastAsia="Calibri" w:hAnsi="Calibri"/>
          <w:b/>
          <w:bCs/>
          <w:i w:val="false"/>
          <w:iCs w:val="false"/>
          <w:sz w:val="21"/>
          <w:szCs w:val="21"/>
        </w:rPr>
        <w:t xml:space="preserve">Separar la deuda antigua del consumo corriente.</w:t>
      </w:r>
      <w:r>
        <w:rPr>
          <w:rFonts w:ascii="Calibri" w:cs="Calibri" w:eastAsia="Calibri" w:hAnsi="Calibri"/>
          <w:b w:val="false"/>
          <w:bCs w:val="false"/>
          <w:i w:val="false"/>
          <w:iCs w:val="false"/>
          <w:sz w:val="21"/>
          <w:szCs w:val="21"/>
        </w:rPr>
        <w:t xml:space="preserve"> Con los proveedores críticos, el acuerdo tiene dos patas: el consumo del mes se paga al contado o a plazo corto, y la deuda antigua se amortiza en cuotas fijas. Mezclarlas es lo que bloquea el suministro.</w:t>
      </w:r>
    </w:p>
    <w:p>
      <w:pPr>
        <w:pStyle w:val="ListParagraph"/>
        <w:numPr>
          <w:ilvl w:val="0"/>
          <w:numId w:val="3"/>
        </w:numPr>
        <w:spacing w:after="70" w:line="264"/>
        <w:jc w:val="both"/>
      </w:pPr>
      <w:r>
        <w:rPr>
          <w:rFonts w:ascii="Calibri" w:cs="Calibri" w:eastAsia="Calibri" w:hAnsi="Calibri"/>
          <w:b/>
          <w:bCs/>
          <w:i w:val="false"/>
          <w:iCs w:val="false"/>
          <w:sz w:val="21"/>
          <w:szCs w:val="21"/>
        </w:rPr>
        <w:t xml:space="preserve">Reservar siempre un colchón.</w:t>
      </w:r>
      <w:r>
        <w:rPr>
          <w:rFonts w:ascii="Calibri" w:cs="Calibri" w:eastAsia="Calibri" w:hAnsi="Calibri"/>
          <w:b w:val="false"/>
          <w:bCs w:val="false"/>
          <w:i w:val="false"/>
          <w:iCs w:val="false"/>
          <w:sz w:val="21"/>
          <w:szCs w:val="21"/>
        </w:rPr>
        <w:t xml:space="preserve"> Nunca se deja la caja a cero: hay que mantener un saldo mínimo de seguridad equivalente, como mínimo, a una semana de gasoil más las nóminas del mes en curso.</w:t>
      </w:r>
    </w:p>
    <w:p>
      <w:pPr>
        <w:pStyle w:val="Heading2"/>
        <w:spacing w:after="120" w:before="260"/>
      </w:pPr>
      <w:r>
        <w:rPr>
          <w:rFonts w:ascii="Calibri" w:cs="Calibri" w:eastAsia="Calibri" w:hAnsi="Calibri"/>
          <w:b/>
          <w:bCs/>
          <w:color w:val="2E74B5"/>
          <w:sz w:val="24"/>
          <w:szCs w:val="24"/>
        </w:rPr>
        <w:t xml:space="preserve">7.3. Las cinco reglas que no se rompen</w:t>
      </w:r>
    </w:p>
    <w:tbl>
      <w:tblPr>
        <w:tblW w:type="dxa" w:w="9600"/>
        <w:tblBorders>
          <w:top w:val="single" w:color="DEEAF6" w:sz="2"/>
          <w:left w:val="single" w:color="2E74B5" w:sz="18"/>
          <w:bottom w:val="single" w:color="DEEAF6" w:sz="2"/>
          <w:right w:val="single" w:color="DEEAF6" w:sz="2"/>
          <w:insideH w:val="none"/>
          <w:insideV w:val="none"/>
        </w:tblBorders>
      </w:tblPr>
      <w:tblGrid>
        <w:gridCol w:w="9600"/>
      </w:tblGrid>
      <w:tr>
        <w:tc>
          <w:tcPr>
            <w:tcW w:type="dxa" w:w="9600"/>
            <w:shd w:fill="DEEAF6" w:color="auto" w:val="clear"/>
            <w:tcMar>
              <w:top w:type="dxa" w:w="140"/>
              <w:left w:type="dxa" w:w="200"/>
              <w:bottom w:type="dxa" w:w="140"/>
              <w:right w:type="dxa" w:w="200"/>
            </w:tcMar>
          </w:tcPr>
          <w:p>
            <w:pPr>
              <w:spacing w:after="80" w:before="40"/>
            </w:pPr>
            <w:r>
              <w:rPr>
                <w:rFonts w:ascii="Calibri" w:cs="Calibri" w:eastAsia="Calibri" w:hAnsi="Calibri"/>
                <w:b/>
                <w:bCs/>
                <w:i w:val="false"/>
                <w:iCs w:val="false"/>
                <w:color w:val="1F3864"/>
                <w:sz w:val="21"/>
                <w:szCs w:val="21"/>
              </w:rPr>
              <w:t xml:space="preserve">Política de pagos — Transportes Araya</w:t>
            </w:r>
          </w:p>
          <w:p>
            <w:pPr>
              <w:spacing w:after="60" w:line="252"/>
              <w:jc w:val="both"/>
            </w:pPr>
            <w:r>
              <w:rPr>
                <w:rFonts w:ascii="Calibri" w:cs="Calibri" w:eastAsia="Calibri" w:hAnsi="Calibri"/>
                <w:b/>
                <w:bCs/>
                <w:i w:val="false"/>
                <w:iCs w:val="false"/>
                <w:sz w:val="20"/>
                <w:szCs w:val="20"/>
              </w:rPr>
              <w:t xml:space="preserve">1.</w:t>
            </w:r>
            <w:r>
              <w:rPr>
                <w:rFonts w:ascii="Calibri" w:cs="Calibri" w:eastAsia="Calibri" w:hAnsi="Calibri"/>
                <w:b w:val="false"/>
                <w:bCs w:val="false"/>
                <w:i w:val="false"/>
                <w:iCs w:val="false"/>
                <w:sz w:val="20"/>
                <w:szCs w:val="20"/>
              </w:rPr>
              <w:t xml:space="preserve"> No se paga por presión, se paga por nivel de prelación.</w:t>
            </w:r>
          </w:p>
          <w:p>
            <w:pPr>
              <w:spacing w:after="60" w:line="252"/>
              <w:jc w:val="both"/>
            </w:pPr>
            <w:r>
              <w:rPr>
                <w:rFonts w:ascii="Calibri" w:cs="Calibri" w:eastAsia="Calibri" w:hAnsi="Calibri"/>
                <w:b/>
                <w:bCs/>
                <w:i w:val="false"/>
                <w:iCs w:val="false"/>
                <w:sz w:val="20"/>
                <w:szCs w:val="20"/>
              </w:rPr>
              <w:t xml:space="preserve">2.</w:t>
            </w:r>
            <w:r>
              <w:rPr>
                <w:rFonts w:ascii="Calibri" w:cs="Calibri" w:eastAsia="Calibri" w:hAnsi="Calibri"/>
                <w:b w:val="false"/>
                <w:bCs w:val="false"/>
                <w:i w:val="false"/>
                <w:iCs w:val="false"/>
                <w:sz w:val="20"/>
                <w:szCs w:val="20"/>
              </w:rPr>
              <w:t xml:space="preserve"> No se usa el dinero de retenciones e IVA como circulante más allá de un aplazamiento formalmente concedido.</w:t>
            </w:r>
          </w:p>
          <w:p>
            <w:pPr>
              <w:spacing w:after="60" w:line="252"/>
              <w:jc w:val="both"/>
            </w:pPr>
            <w:r>
              <w:rPr>
                <w:rFonts w:ascii="Calibri" w:cs="Calibri" w:eastAsia="Calibri" w:hAnsi="Calibri"/>
                <w:b/>
                <w:bCs/>
                <w:i w:val="false"/>
                <w:iCs w:val="false"/>
                <w:sz w:val="20"/>
                <w:szCs w:val="20"/>
              </w:rPr>
              <w:t xml:space="preserve">3.</w:t>
            </w:r>
            <w:r>
              <w:rPr>
                <w:rFonts w:ascii="Calibri" w:cs="Calibri" w:eastAsia="Calibri" w:hAnsi="Calibri"/>
                <w:b w:val="false"/>
                <w:bCs w:val="false"/>
                <w:i w:val="false"/>
                <w:iCs w:val="false"/>
                <w:sz w:val="20"/>
                <w:szCs w:val="20"/>
              </w:rPr>
              <w:t xml:space="preserve"> Todo pago fuera de la lista semanal requiere aprobación escrita de Dirección.</w:t>
            </w:r>
          </w:p>
          <w:p>
            <w:pPr>
              <w:spacing w:after="60" w:line="252"/>
              <w:jc w:val="both"/>
            </w:pPr>
            <w:r>
              <w:rPr>
                <w:rFonts w:ascii="Calibri" w:cs="Calibri" w:eastAsia="Calibri" w:hAnsi="Calibri"/>
                <w:b/>
                <w:bCs/>
                <w:i w:val="false"/>
                <w:iCs w:val="false"/>
                <w:sz w:val="20"/>
                <w:szCs w:val="20"/>
              </w:rPr>
              <w:t xml:space="preserve">4.</w:t>
            </w:r>
            <w:r>
              <w:rPr>
                <w:rFonts w:ascii="Calibri" w:cs="Calibri" w:eastAsia="Calibri" w:hAnsi="Calibri"/>
                <w:b w:val="false"/>
                <w:bCs w:val="false"/>
                <w:i w:val="false"/>
                <w:iCs w:val="false"/>
                <w:sz w:val="20"/>
                <w:szCs w:val="20"/>
              </w:rPr>
              <w:t xml:space="preserve"> Ningún proveedor de nivel rojo entra en mora: si no se va a poder pagar, se renegocia antes del vencimiento.</w:t>
            </w:r>
          </w:p>
          <w:p>
            <w:pPr>
              <w:spacing w:after="60" w:line="252"/>
              <w:jc w:val="both"/>
            </w:pPr>
            <w:r>
              <w:rPr>
                <w:rFonts w:ascii="Calibri" w:cs="Calibri" w:eastAsia="Calibri" w:hAnsi="Calibri"/>
                <w:b/>
                <w:bCs/>
                <w:i w:val="false"/>
                <w:iCs w:val="false"/>
                <w:sz w:val="20"/>
                <w:szCs w:val="20"/>
              </w:rPr>
              <w:t xml:space="preserve">5.</w:t>
            </w:r>
            <w:r>
              <w:rPr>
                <w:rFonts w:ascii="Calibri" w:cs="Calibri" w:eastAsia="Calibri" w:hAnsi="Calibri"/>
                <w:b w:val="false"/>
                <w:bCs w:val="false"/>
                <w:i w:val="false"/>
                <w:iCs w:val="false"/>
                <w:sz w:val="20"/>
                <w:szCs w:val="20"/>
              </w:rPr>
              <w:t xml:space="preserve"> Se comunica siempre antes de incumplir, nunca después.</w:t>
            </w:r>
          </w:p>
        </w:tc>
      </w:tr>
    </w:tbl>
    <w:p>
      <w:pPr>
        <w:spacing w:after="120" w:line="264"/>
        <w:jc w:val="both"/>
      </w:pPr>
      <w:r>
        <w:rPr>
          <w:rFonts w:ascii="Calibri" w:cs="Calibri" w:eastAsia="Calibri" w:hAnsi="Calibri"/>
          <w:b w:val="false"/>
          <w:bCs w:val="false"/>
          <w:i/>
          <w:iCs/>
          <w:sz w:val="21"/>
          <w:szCs w:val="21"/>
        </w:rPr>
        <w:t xml:space="preserve">Esta política debe imprimirse, firmarla la Dirección y colgarse en administración. Es lo que permite decir "no" sin negociar cada vez.</w:t>
      </w:r>
    </w:p>
    <w:p>
      <w:pPr>
        <w:pStyle w:val="Heading1"/>
        <w:pageBreakBefore/>
        <w:pBdr>
          <w:bottom w:val="single" w:color="2E74B5" w:sz="8" w:space="6"/>
        </w:pBdr>
        <w:spacing w:after="180" w:before="240"/>
      </w:pPr>
      <w:r>
        <w:rPr>
          <w:rFonts w:ascii="Calibri" w:cs="Calibri" w:eastAsia="Calibri" w:hAnsi="Calibri"/>
          <w:b/>
          <w:bCs/>
          <w:color w:val="1F3864"/>
          <w:sz w:val="30"/>
          <w:szCs w:val="30"/>
        </w:rPr>
        <w:t xml:space="preserve">8. Fase 4: presupuesto de tesorería a 13 semanas</w:t>
      </w:r>
    </w:p>
    <w:p>
      <w:pPr>
        <w:spacing w:after="120" w:line="264"/>
        <w:jc w:val="both"/>
      </w:pPr>
      <w:r>
        <w:rPr>
          <w:rFonts w:ascii="Calibri" w:cs="Calibri" w:eastAsia="Calibri" w:hAnsi="Calibri"/>
          <w:b w:val="false"/>
          <w:bCs w:val="false"/>
          <w:i w:val="false"/>
          <w:iCs w:val="false"/>
          <w:sz w:val="21"/>
          <w:szCs w:val="21"/>
        </w:rPr>
        <w:t xml:space="preserve">El presupuesto de tesorería a 13 semanas es la herramienta estándar en situaciones de tensión de caja, y por una razón muy práctica: un trimestre es el horizonte en el que todavía se puede </w:t>
      </w:r>
      <w:r>
        <w:rPr>
          <w:rFonts w:ascii="Calibri" w:cs="Calibri" w:eastAsia="Calibri" w:hAnsi="Calibri"/>
          <w:b/>
          <w:bCs/>
          <w:i w:val="false"/>
          <w:iCs w:val="false"/>
          <w:sz w:val="21"/>
          <w:szCs w:val="21"/>
        </w:rPr>
        <w:t xml:space="preserve">hacer algo</w:t>
      </w:r>
      <w:r>
        <w:rPr>
          <w:rFonts w:ascii="Calibri" w:cs="Calibri" w:eastAsia="Calibri" w:hAnsi="Calibri"/>
          <w:b w:val="false"/>
          <w:bCs w:val="false"/>
          <w:i w:val="false"/>
          <w:iCs w:val="false"/>
          <w:sz w:val="21"/>
          <w:szCs w:val="21"/>
        </w:rPr>
        <w:t xml:space="preserve"> —negociar, anticipar un cobro, pedir un aplazamiento— y a la vez es lo bastante corto para estimar con precisión razonable. Un presupuesto anual no sirve aquí; una previsión a una semana tampoco.</w:t>
      </w:r>
    </w:p>
    <w:p>
      <w:pPr>
        <w:pStyle w:val="Heading2"/>
        <w:spacing w:after="120" w:before="260"/>
      </w:pPr>
      <w:r>
        <w:rPr>
          <w:rFonts w:ascii="Calibri" w:cs="Calibri" w:eastAsia="Calibri" w:hAnsi="Calibri"/>
          <w:b/>
          <w:bCs/>
          <w:color w:val="2E74B5"/>
          <w:sz w:val="24"/>
          <w:szCs w:val="24"/>
        </w:rPr>
        <w:t xml:space="preserve">8.1. Estructura</w:t>
      </w:r>
    </w:p>
    <w:p>
      <w:pPr>
        <w:spacing w:after="120" w:line="264"/>
        <w:jc w:val="both"/>
      </w:pPr>
      <w:r>
        <w:rPr>
          <w:rFonts w:ascii="Calibri" w:cs="Calibri" w:eastAsia="Calibri" w:hAnsi="Calibri"/>
          <w:b w:val="false"/>
          <w:bCs w:val="false"/>
          <w:i w:val="false"/>
          <w:iCs w:val="false"/>
          <w:sz w:val="21"/>
          <w:szCs w:val="21"/>
        </w:rPr>
        <w:t xml:space="preserve">Una columna por semana, trece columnas. Las filas, por naturaleza del movimiento:</w:t>
      </w:r>
    </w:p>
    <w:tbl>
      <w:tblPr>
        <w:tblW w:type="dxa" w:w="9600"/>
        <w:tblBorders>
          <w:top w:val="single" w:color="BFBFBF" w:sz="4"/>
          <w:left w:val="single" w:color="BFBFBF" w:sz="4"/>
          <w:bottom w:val="single" w:color="BFBFBF" w:sz="4"/>
          <w:right w:val="single" w:color="BFBFBF" w:sz="4"/>
          <w:insideH w:val="single" w:color="D9D9D9" w:sz="2"/>
          <w:insideV w:val="single" w:color="D9D9D9" w:sz="2"/>
        </w:tblBorders>
      </w:tblPr>
      <w:tblGrid>
        <w:gridCol w:w="2200"/>
        <w:gridCol w:w="7400"/>
      </w:tblGrid>
      <w:tr>
        <w:trPr>
          <w:tblHeader/>
        </w:trPr>
        <w:tc>
          <w:tcPr>
            <w:tcW w:type="dxa" w:w="2200"/>
            <w:shd w:fill="1F3864"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color w:val="FFFFFF"/>
                <w:sz w:val="19"/>
                <w:szCs w:val="19"/>
              </w:rPr>
              <w:t xml:space="preserve">Bloque</w:t>
            </w:r>
          </w:p>
        </w:tc>
        <w:tc>
          <w:tcPr>
            <w:tcW w:type="dxa" w:w="7400"/>
            <w:shd w:fill="1F3864"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color w:val="FFFFFF"/>
                <w:sz w:val="19"/>
                <w:szCs w:val="19"/>
              </w:rPr>
              <w:t xml:space="preserve">Conceptos</w:t>
            </w:r>
          </w:p>
        </w:tc>
      </w:tr>
      <w:tr>
        <w:tc>
          <w:tcPr>
            <w:tcW w:type="dxa" w:w="2200"/>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sz w:val="19"/>
                <w:szCs w:val="19"/>
              </w:rPr>
              <w:t xml:space="preserve">(A) Saldo inicial</w:t>
            </w:r>
          </w:p>
        </w:tc>
        <w:tc>
          <w:tcPr>
            <w:tcW w:type="dxa" w:w="7400"/>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Caja disponible al inicio de la semana (bancos + disponible en póliza).</w:t>
            </w:r>
          </w:p>
        </w:tc>
      </w:tr>
      <w:tr>
        <w:tc>
          <w:tcPr>
            <w:tcW w:type="dxa" w:w="22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sz w:val="19"/>
                <w:szCs w:val="19"/>
              </w:rPr>
              <w:t xml:space="preserve">(B) Cobros</w:t>
            </w:r>
          </w:p>
        </w:tc>
        <w:tc>
          <w:tcPr>
            <w:tcW w:type="dxa" w:w="74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Cobros de clientes por vencimiento real (no por fecha de factura) · Anticipos y factoring · Devoluciones AEAT (gasóleo profesional, ayudas, IVA) · Otros ingresos.</w:t>
            </w:r>
          </w:p>
        </w:tc>
      </w:tr>
      <w:tr>
        <w:tc>
          <w:tcPr>
            <w:tcW w:type="dxa" w:w="2200"/>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sz w:val="19"/>
                <w:szCs w:val="19"/>
              </w:rPr>
              <w:t xml:space="preserve">(C) Pagos operativos</w:t>
            </w:r>
          </w:p>
        </w:tc>
        <w:tc>
          <w:tcPr>
            <w:tcW w:type="dxa" w:w="7400"/>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Gasoil · Nóminas y Seguridad Social · Peajes · Mantenimiento y neumáticos · Seguros · Alquileres.</w:t>
            </w:r>
          </w:p>
        </w:tc>
      </w:tr>
      <w:tr>
        <w:tc>
          <w:tcPr>
            <w:tcW w:type="dxa" w:w="22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sz w:val="19"/>
                <w:szCs w:val="19"/>
              </w:rPr>
              <w:t xml:space="preserve">(D) Pagos financieros</w:t>
            </w:r>
          </w:p>
        </w:tc>
        <w:tc>
          <w:tcPr>
            <w:tcW w:type="dxa" w:w="74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Cuotas de leasing y renting · Préstamos · Intereses y comisiones bancarias.</w:t>
            </w:r>
          </w:p>
        </w:tc>
      </w:tr>
      <w:tr>
        <w:tc>
          <w:tcPr>
            <w:tcW w:type="dxa" w:w="2200"/>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sz w:val="19"/>
                <w:szCs w:val="19"/>
              </w:rPr>
              <w:t xml:space="preserve">(E) Pagos fiscales</w:t>
            </w:r>
          </w:p>
        </w:tc>
        <w:tc>
          <w:tcPr>
            <w:tcW w:type="dxa" w:w="7400"/>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IVA · Retenciones IRPF · Pagos fraccionados · Cuotas de aplazamientos concedidos.</w:t>
            </w:r>
          </w:p>
        </w:tc>
      </w:tr>
      <w:tr>
        <w:tc>
          <w:tcPr>
            <w:tcW w:type="dxa" w:w="22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sz w:val="19"/>
                <w:szCs w:val="19"/>
              </w:rPr>
              <w:t xml:space="preserve">(F) Deuda antigua</w:t>
            </w:r>
          </w:p>
        </w:tc>
        <w:tc>
          <w:tcPr>
            <w:tcW w:type="dxa" w:w="74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Cuotas comprometidas en los acuerdos de pago negociados con proveedores.</w:t>
            </w:r>
          </w:p>
        </w:tc>
      </w:tr>
      <w:tr>
        <w:tc>
          <w:tcPr>
            <w:tcW w:type="dxa" w:w="2200"/>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sz w:val="19"/>
                <w:szCs w:val="19"/>
              </w:rPr>
              <w:t xml:space="preserve">(G) Saldo final</w:t>
            </w:r>
          </w:p>
        </w:tc>
        <w:tc>
          <w:tcPr>
            <w:tcW w:type="dxa" w:w="7400"/>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sz w:val="19"/>
                <w:szCs w:val="19"/>
              </w:rPr>
              <w:t xml:space="preserve">A + B − C − D − E − F.</w:t>
            </w:r>
            <w:r>
              <w:rPr>
                <w:rFonts w:ascii="Calibri" w:cs="Calibri" w:eastAsia="Calibri" w:hAnsi="Calibri"/>
                <w:b w:val="false"/>
                <w:bCs w:val="false"/>
                <w:i w:val="false"/>
                <w:iCs w:val="false"/>
                <w:sz w:val="19"/>
                <w:szCs w:val="19"/>
              </w:rPr>
              <w:t xml:space="preserve"> Es la línea que hay que mirar.</w:t>
            </w:r>
          </w:p>
        </w:tc>
      </w:tr>
    </w:tbl>
    <w:p>
      <w:pPr>
        <w:pStyle w:val="Heading2"/>
        <w:spacing w:after="120" w:before="260"/>
      </w:pPr>
      <w:r>
        <w:rPr>
          <w:rFonts w:ascii="Calibri" w:cs="Calibri" w:eastAsia="Calibri" w:hAnsi="Calibri"/>
          <w:b/>
          <w:bCs/>
          <w:color w:val="2E74B5"/>
          <w:sz w:val="24"/>
          <w:szCs w:val="24"/>
        </w:rPr>
        <w:t xml:space="preserve">8.2. Las tres cifras que importan</w:t>
      </w:r>
    </w:p>
    <w:p>
      <w:pPr>
        <w:pStyle w:val="ListParagraph"/>
        <w:numPr>
          <w:ilvl w:val="0"/>
          <w:numId w:val="2"/>
        </w:numPr>
        <w:spacing w:after="70" w:line="264"/>
        <w:jc w:val="both"/>
      </w:pPr>
      <w:r>
        <w:rPr>
          <w:rFonts w:ascii="Calibri" w:cs="Calibri" w:eastAsia="Calibri" w:hAnsi="Calibri"/>
          <w:b/>
          <w:bCs/>
          <w:i w:val="false"/>
          <w:iCs w:val="false"/>
          <w:sz w:val="21"/>
          <w:szCs w:val="21"/>
        </w:rPr>
        <w:t xml:space="preserve">El saldo final de cada semana.</w:t>
      </w:r>
      <w:r>
        <w:rPr>
          <w:rFonts w:ascii="Calibri" w:cs="Calibri" w:eastAsia="Calibri" w:hAnsi="Calibri"/>
          <w:b w:val="false"/>
          <w:bCs w:val="false"/>
          <w:i w:val="false"/>
          <w:iCs w:val="false"/>
          <w:sz w:val="21"/>
          <w:szCs w:val="21"/>
        </w:rPr>
        <w:t xml:space="preserve"> Si es negativo, hay un problema que resolver antes de que llegue esa semana, no cuando llegue.</w:t>
      </w:r>
    </w:p>
    <w:p>
      <w:pPr>
        <w:pStyle w:val="ListParagraph"/>
        <w:numPr>
          <w:ilvl w:val="0"/>
          <w:numId w:val="2"/>
        </w:numPr>
        <w:spacing w:after="70" w:line="264"/>
        <w:jc w:val="both"/>
      </w:pPr>
      <w:r>
        <w:rPr>
          <w:rFonts w:ascii="Calibri" w:cs="Calibri" w:eastAsia="Calibri" w:hAnsi="Calibri"/>
          <w:b/>
          <w:bCs/>
          <w:i w:val="false"/>
          <w:iCs w:val="false"/>
          <w:sz w:val="21"/>
          <w:szCs w:val="21"/>
        </w:rPr>
        <w:t xml:space="preserve">El saldo mínimo de seguridad.</w:t>
      </w:r>
      <w:r>
        <w:rPr>
          <w:rFonts w:ascii="Calibri" w:cs="Calibri" w:eastAsia="Calibri" w:hAnsi="Calibri"/>
          <w:b w:val="false"/>
          <w:bCs w:val="false"/>
          <w:i w:val="false"/>
          <w:iCs w:val="false"/>
          <w:sz w:val="21"/>
          <w:szCs w:val="21"/>
        </w:rPr>
        <w:t xml:space="preserve"> Un colchón por debajo del cual no se baja. Propuesta: una semana de consumo de gasoil más la nómina mensual. Cruzar esa línea equivale a quedarse sin capacidad de reacción.</w:t>
      </w:r>
    </w:p>
    <w:p>
      <w:pPr>
        <w:pStyle w:val="ListParagraph"/>
        <w:numPr>
          <w:ilvl w:val="0"/>
          <w:numId w:val="2"/>
        </w:numPr>
        <w:spacing w:after="70" w:line="264"/>
        <w:jc w:val="both"/>
      </w:pPr>
      <w:r>
        <w:rPr>
          <w:rFonts w:ascii="Calibri" w:cs="Calibri" w:eastAsia="Calibri" w:hAnsi="Calibri"/>
          <w:b/>
          <w:bCs/>
          <w:i w:val="false"/>
          <w:iCs w:val="false"/>
          <w:sz w:val="21"/>
          <w:szCs w:val="21"/>
        </w:rPr>
        <w:t xml:space="preserve">La "semana de rotura".</w:t>
      </w:r>
      <w:r>
        <w:rPr>
          <w:rFonts w:ascii="Calibri" w:cs="Calibri" w:eastAsia="Calibri" w:hAnsi="Calibri"/>
          <w:b w:val="false"/>
          <w:bCs w:val="false"/>
          <w:i w:val="false"/>
          <w:iCs w:val="false"/>
          <w:sz w:val="21"/>
          <w:szCs w:val="21"/>
        </w:rPr>
        <w:t xml:space="preserve"> La primera semana en la que la proyección se queda por debajo del colchón. </w:t>
      </w:r>
      <w:r>
        <w:rPr>
          <w:rFonts w:ascii="Calibri" w:cs="Calibri" w:eastAsia="Calibri" w:hAnsi="Calibri"/>
          <w:b/>
          <w:bCs/>
          <w:i w:val="false"/>
          <w:iCs w:val="false"/>
          <w:sz w:val="21"/>
          <w:szCs w:val="21"/>
        </w:rPr>
        <w:t xml:space="preserve">Esa fecha es el reloj del plan</w:t>
      </w:r>
      <w:r>
        <w:rPr>
          <w:rFonts w:ascii="Calibri" w:cs="Calibri" w:eastAsia="Calibri" w:hAnsi="Calibri"/>
          <w:b w:val="false"/>
          <w:bCs w:val="false"/>
          <w:i w:val="false"/>
          <w:iCs w:val="false"/>
          <w:sz w:val="21"/>
          <w:szCs w:val="21"/>
        </w:rPr>
        <w:t xml:space="preserve">: marca cuánto tiempo hay para negociar, cobrar o financiar. Todas las decisiones se ordenan en función de ella.</w:t>
      </w:r>
    </w:p>
    <w:p>
      <w:pPr>
        <w:pStyle w:val="Heading2"/>
        <w:spacing w:after="120" w:before="260"/>
      </w:pPr>
      <w:r>
        <w:rPr>
          <w:rFonts w:ascii="Calibri" w:cs="Calibri" w:eastAsia="Calibri" w:hAnsi="Calibri"/>
          <w:b/>
          <w:bCs/>
          <w:color w:val="2E74B5"/>
          <w:sz w:val="24"/>
          <w:szCs w:val="24"/>
        </w:rPr>
        <w:t xml:space="preserve">8.3. Mantenimiento</w:t>
      </w:r>
    </w:p>
    <w:p>
      <w:pPr>
        <w:pStyle w:val="ListParagraph"/>
        <w:numPr>
          <w:ilvl w:val="0"/>
          <w:numId w:val="3"/>
        </w:numPr>
        <w:spacing w:after="70" w:line="264"/>
        <w:jc w:val="both"/>
      </w:pPr>
      <w:r>
        <w:rPr>
          <w:rFonts w:ascii="Calibri" w:cs="Calibri" w:eastAsia="Calibri" w:hAnsi="Calibri"/>
          <w:b w:val="false"/>
          <w:bCs w:val="false"/>
          <w:i w:val="false"/>
          <w:iCs w:val="false"/>
          <w:sz w:val="21"/>
          <w:szCs w:val="21"/>
        </w:rPr>
        <w:t xml:space="preserve">Se actualiza </w:t>
      </w:r>
      <w:r>
        <w:rPr>
          <w:rFonts w:ascii="Calibri" w:cs="Calibri" w:eastAsia="Calibri" w:hAnsi="Calibri"/>
          <w:b/>
          <w:bCs/>
          <w:i w:val="false"/>
          <w:iCs w:val="false"/>
          <w:sz w:val="21"/>
          <w:szCs w:val="21"/>
        </w:rPr>
        <w:t xml:space="preserve">cada lunes</w:t>
      </w:r>
      <w:r>
        <w:rPr>
          <w:rFonts w:ascii="Calibri" w:cs="Calibri" w:eastAsia="Calibri" w:hAnsi="Calibri"/>
          <w:b w:val="false"/>
          <w:bCs w:val="false"/>
          <w:i w:val="false"/>
          <w:iCs w:val="false"/>
          <w:sz w:val="21"/>
          <w:szCs w:val="21"/>
        </w:rPr>
        <w:t xml:space="preserve">, desplazando una semana (previsión rodante). Nunca se deja envejecer.</w:t>
      </w:r>
    </w:p>
    <w:p>
      <w:pPr>
        <w:pStyle w:val="ListParagraph"/>
        <w:numPr>
          <w:ilvl w:val="0"/>
          <w:numId w:val="3"/>
        </w:numPr>
        <w:spacing w:after="70" w:line="264"/>
        <w:jc w:val="both"/>
      </w:pPr>
      <w:r>
        <w:rPr>
          <w:rFonts w:ascii="Calibri" w:cs="Calibri" w:eastAsia="Calibri" w:hAnsi="Calibri"/>
          <w:b w:val="false"/>
          <w:bCs w:val="false"/>
          <w:i w:val="false"/>
          <w:iCs w:val="false"/>
          <w:sz w:val="21"/>
          <w:szCs w:val="21"/>
        </w:rPr>
        <w:t xml:space="preserve">Los cobros se anotan por </w:t>
      </w:r>
      <w:r>
        <w:rPr>
          <w:rFonts w:ascii="Calibri" w:cs="Calibri" w:eastAsia="Calibri" w:hAnsi="Calibri"/>
          <w:b/>
          <w:bCs/>
          <w:i w:val="false"/>
          <w:iCs w:val="false"/>
          <w:sz w:val="21"/>
          <w:szCs w:val="21"/>
        </w:rPr>
        <w:t xml:space="preserve">fecha realista de cobro</w:t>
      </w:r>
      <w:r>
        <w:rPr>
          <w:rFonts w:ascii="Calibri" w:cs="Calibri" w:eastAsia="Calibri" w:hAnsi="Calibri"/>
          <w:b w:val="false"/>
          <w:bCs w:val="false"/>
          <w:i w:val="false"/>
          <w:iCs w:val="false"/>
          <w:sz w:val="21"/>
          <w:szCs w:val="21"/>
        </w:rPr>
        <w:t xml:space="preserve">, no por vencimiento teórico. Si un cliente siempre paga con 20 días de retraso, se presupuesta con 20 días de retraso.</w:t>
      </w:r>
    </w:p>
    <w:p>
      <w:pPr>
        <w:pStyle w:val="ListParagraph"/>
        <w:numPr>
          <w:ilvl w:val="0"/>
          <w:numId w:val="3"/>
        </w:numPr>
        <w:spacing w:after="70" w:line="264"/>
        <w:jc w:val="both"/>
      </w:pPr>
      <w:r>
        <w:rPr>
          <w:rFonts w:ascii="Calibri" w:cs="Calibri" w:eastAsia="Calibri" w:hAnsi="Calibri"/>
          <w:b w:val="false"/>
          <w:bCs w:val="false"/>
          <w:i w:val="false"/>
          <w:iCs w:val="false"/>
          <w:sz w:val="21"/>
          <w:szCs w:val="21"/>
        </w:rPr>
        <w:t xml:space="preserve">Cada semana se compara lo previsto con lo real y se anota la desviación. En cuatro o cinco semanas, la previsión se vuelve notablemente fiable.</w:t>
      </w:r>
    </w:p>
    <w:p>
      <w:pPr>
        <w:pStyle w:val="ListParagraph"/>
        <w:numPr>
          <w:ilvl w:val="0"/>
          <w:numId w:val="3"/>
        </w:numPr>
        <w:spacing w:after="70" w:line="264"/>
        <w:jc w:val="both"/>
      </w:pPr>
      <w:r>
        <w:rPr>
          <w:rFonts w:ascii="Calibri" w:cs="Calibri" w:eastAsia="Calibri" w:hAnsi="Calibri"/>
          <w:b w:val="false"/>
          <w:bCs w:val="false"/>
          <w:i w:val="false"/>
          <w:iCs w:val="false"/>
          <w:sz w:val="21"/>
          <w:szCs w:val="21"/>
        </w:rPr>
        <w:t xml:space="preserve">Se trabaja con </w:t>
      </w:r>
      <w:r>
        <w:rPr>
          <w:rFonts w:ascii="Calibri" w:cs="Calibri" w:eastAsia="Calibri" w:hAnsi="Calibri"/>
          <w:b/>
          <w:bCs/>
          <w:i w:val="false"/>
          <w:iCs w:val="false"/>
          <w:sz w:val="21"/>
          <w:szCs w:val="21"/>
        </w:rPr>
        <w:t xml:space="preserve">tres escenarios</w:t>
      </w:r>
      <w:r>
        <w:rPr>
          <w:rFonts w:ascii="Calibri" w:cs="Calibri" w:eastAsia="Calibri" w:hAnsi="Calibri"/>
          <w:b w:val="false"/>
          <w:bCs w:val="false"/>
          <w:i w:val="false"/>
          <w:iCs w:val="false"/>
          <w:sz w:val="21"/>
          <w:szCs w:val="21"/>
        </w:rPr>
        <w:t xml:space="preserve">: realista, pesimista (los dos peores clientes se retrasan un mes) y optimista. Se decide siempre sobre el pesimista.</w:t>
      </w:r>
    </w:p>
    <w:p>
      <w:pPr>
        <w:pStyle w:val="Heading1"/>
        <w:pageBreakBefore/>
        <w:pBdr>
          <w:bottom w:val="single" w:color="2E74B5" w:sz="8" w:space="6"/>
        </w:pBdr>
        <w:spacing w:after="180" w:before="240"/>
      </w:pPr>
      <w:r>
        <w:rPr>
          <w:rFonts w:ascii="Calibri" w:cs="Calibri" w:eastAsia="Calibri" w:hAnsi="Calibri"/>
          <w:b/>
          <w:bCs/>
          <w:color w:val="1F3864"/>
          <w:sz w:val="30"/>
          <w:szCs w:val="30"/>
        </w:rPr>
        <w:t xml:space="preserve">9. Fase 5: negociación ordenada con proveedores</w:t>
      </w:r>
    </w:p>
    <w:p>
      <w:pPr>
        <w:spacing w:after="120" w:line="264"/>
        <w:jc w:val="both"/>
      </w:pPr>
      <w:r>
        <w:rPr>
          <w:rFonts w:ascii="Calibri" w:cs="Calibri" w:eastAsia="Calibri" w:hAnsi="Calibri"/>
          <w:b w:val="false"/>
          <w:bCs w:val="false"/>
          <w:i w:val="false"/>
          <w:iCs w:val="false"/>
          <w:sz w:val="21"/>
          <w:szCs w:val="21"/>
        </w:rPr>
        <w:t xml:space="preserve">Con la foto hecha, la matriz de criticidad y las reglas de prelación aprobadas, la negociación deja de ser una sucesión de llamadas defensivas y se convierte en un proceso: nosotros llamamos, nosotros proponemos, nosotros ponemos fechas. Ese cambio de iniciativa es, por sí solo, la mitad del resultado.</w:t>
      </w:r>
    </w:p>
    <w:p>
      <w:pPr>
        <w:pStyle w:val="Heading2"/>
        <w:spacing w:after="120" w:before="260"/>
      </w:pPr>
      <w:r>
        <w:rPr>
          <w:rFonts w:ascii="Calibri" w:cs="Calibri" w:eastAsia="Calibri" w:hAnsi="Calibri"/>
          <w:b/>
          <w:bCs/>
          <w:color w:val="2E74B5"/>
          <w:sz w:val="24"/>
          <w:szCs w:val="24"/>
        </w:rPr>
        <w:t xml:space="preserve">9.1. Preparación: qué hay que tener delante antes de llamar</w:t>
      </w:r>
    </w:p>
    <w:p>
      <w:pPr>
        <w:pStyle w:val="ListParagraph"/>
        <w:numPr>
          <w:ilvl w:val="0"/>
          <w:numId w:val="3"/>
        </w:numPr>
        <w:spacing w:after="70" w:line="264"/>
        <w:jc w:val="both"/>
      </w:pPr>
      <w:r>
        <w:rPr>
          <w:rFonts w:ascii="Calibri" w:cs="Calibri" w:eastAsia="Calibri" w:hAnsi="Calibri"/>
          <w:b w:val="false"/>
          <w:bCs w:val="false"/>
          <w:i w:val="false"/>
          <w:iCs w:val="false"/>
          <w:sz w:val="21"/>
          <w:szCs w:val="21"/>
        </w:rPr>
        <w:t xml:space="preserve">Importe exacto de la deuda y desglose por facturas, con sus fechas.</w:t>
      </w:r>
    </w:p>
    <w:p>
      <w:pPr>
        <w:pStyle w:val="ListParagraph"/>
        <w:numPr>
          <w:ilvl w:val="0"/>
          <w:numId w:val="3"/>
        </w:numPr>
        <w:spacing w:after="70" w:line="264"/>
        <w:jc w:val="both"/>
      </w:pPr>
      <w:r>
        <w:rPr>
          <w:rFonts w:ascii="Calibri" w:cs="Calibri" w:eastAsia="Calibri" w:hAnsi="Calibri"/>
          <w:b w:val="false"/>
          <w:bCs w:val="false"/>
          <w:i w:val="false"/>
          <w:iCs w:val="false"/>
          <w:sz w:val="21"/>
          <w:szCs w:val="21"/>
        </w:rPr>
        <w:t xml:space="preserve">Qué volumen le compramos al año: es nuestro principal argumento. Un proveedor prefiere cobrar en seis meses y conservar un cliente que cobrar el 30 % en un concurso y perderlo.</w:t>
      </w:r>
    </w:p>
    <w:p>
      <w:pPr>
        <w:pStyle w:val="ListParagraph"/>
        <w:numPr>
          <w:ilvl w:val="0"/>
          <w:numId w:val="3"/>
        </w:numPr>
        <w:spacing w:after="70" w:line="264"/>
        <w:jc w:val="both"/>
      </w:pPr>
      <w:r>
        <w:rPr>
          <w:rFonts w:ascii="Calibri" w:cs="Calibri" w:eastAsia="Calibri" w:hAnsi="Calibri"/>
          <w:b w:val="false"/>
          <w:bCs w:val="false"/>
          <w:i w:val="false"/>
          <w:iCs w:val="false"/>
          <w:sz w:val="21"/>
          <w:szCs w:val="21"/>
        </w:rPr>
        <w:t xml:space="preserve">Qué podemos ofrecer de verdad, sacado del presupuesto de tesorería. </w:t>
      </w:r>
      <w:r>
        <w:rPr>
          <w:rFonts w:ascii="Calibri" w:cs="Calibri" w:eastAsia="Calibri" w:hAnsi="Calibri"/>
          <w:b/>
          <w:bCs/>
          <w:i w:val="false"/>
          <w:iCs w:val="false"/>
          <w:sz w:val="21"/>
          <w:szCs w:val="21"/>
        </w:rPr>
        <w:t xml:space="preserve">Nunca se ofrece lo que no está en la proyección.</w:t>
      </w:r>
    </w:p>
    <w:p>
      <w:pPr>
        <w:pStyle w:val="ListParagraph"/>
        <w:numPr>
          <w:ilvl w:val="0"/>
          <w:numId w:val="3"/>
        </w:numPr>
        <w:spacing w:after="70" w:line="264"/>
        <w:jc w:val="both"/>
      </w:pPr>
      <w:r>
        <w:rPr>
          <w:rFonts w:ascii="Calibri" w:cs="Calibri" w:eastAsia="Calibri" w:hAnsi="Calibri"/>
          <w:b w:val="false"/>
          <w:bCs w:val="false"/>
          <w:i w:val="false"/>
          <w:iCs w:val="false"/>
          <w:sz w:val="21"/>
          <w:szCs w:val="21"/>
        </w:rPr>
        <w:t xml:space="preserve">El límite: cuál es el importe máximo mensual que podemos comprometer con ese proveedor sin romper el nivel superior de la prelación.</w:t>
      </w:r>
    </w:p>
    <w:p>
      <w:pPr>
        <w:pStyle w:val="Heading2"/>
        <w:spacing w:after="120" w:before="260"/>
      </w:pPr>
      <w:r>
        <w:rPr>
          <w:rFonts w:ascii="Calibri" w:cs="Calibri" w:eastAsia="Calibri" w:hAnsi="Calibri"/>
          <w:b/>
          <w:bCs/>
          <w:color w:val="2E74B5"/>
          <w:sz w:val="24"/>
          <w:szCs w:val="24"/>
        </w:rPr>
        <w:t xml:space="preserve">9.2. Los cinco tipos de acuerdo</w:t>
      </w:r>
    </w:p>
    <w:tbl>
      <w:tblPr>
        <w:tblW w:type="dxa" w:w="9600"/>
        <w:tblBorders>
          <w:top w:val="single" w:color="BFBFBF" w:sz="4"/>
          <w:left w:val="single" w:color="BFBFBF" w:sz="4"/>
          <w:bottom w:val="single" w:color="BFBFBF" w:sz="4"/>
          <w:right w:val="single" w:color="BFBFBF" w:sz="4"/>
          <w:insideH w:val="single" w:color="D9D9D9" w:sz="2"/>
          <w:insideV w:val="single" w:color="D9D9D9" w:sz="2"/>
        </w:tblBorders>
      </w:tblPr>
      <w:tblGrid>
        <w:gridCol w:w="2500"/>
        <w:gridCol w:w="4000"/>
        <w:gridCol w:w="3100"/>
      </w:tblGrid>
      <w:tr>
        <w:trPr>
          <w:tblHeader/>
        </w:trPr>
        <w:tc>
          <w:tcPr>
            <w:tcW w:type="dxa" w:w="2500"/>
            <w:shd w:fill="1F3864"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color w:val="FFFFFF"/>
                <w:sz w:val="19"/>
                <w:szCs w:val="19"/>
              </w:rPr>
              <w:t xml:space="preserve">Tipo de acuerdo</w:t>
            </w:r>
          </w:p>
        </w:tc>
        <w:tc>
          <w:tcPr>
            <w:tcW w:type="dxa" w:w="4000"/>
            <w:shd w:fill="1F3864"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color w:val="FFFFFF"/>
                <w:sz w:val="19"/>
                <w:szCs w:val="19"/>
              </w:rPr>
              <w:t xml:space="preserve">En qué consiste</w:t>
            </w:r>
          </w:p>
        </w:tc>
        <w:tc>
          <w:tcPr>
            <w:tcW w:type="dxa" w:w="3100"/>
            <w:shd w:fill="1F3864"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color w:val="FFFFFF"/>
                <w:sz w:val="19"/>
                <w:szCs w:val="19"/>
              </w:rPr>
              <w:t xml:space="preserve">Cuándo usarlo</w:t>
            </w:r>
          </w:p>
        </w:tc>
      </w:tr>
      <w:tr>
        <w:tc>
          <w:tcPr>
            <w:tcW w:type="dxa" w:w="2500"/>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sz w:val="19"/>
                <w:szCs w:val="19"/>
              </w:rPr>
              <w:t xml:space="preserve">Calendario de pagos (fraccionamiento)</w:t>
            </w:r>
          </w:p>
        </w:tc>
        <w:tc>
          <w:tcPr>
            <w:tcW w:type="dxa" w:w="4000"/>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La deuda vencida se divide en cuotas mensuales fijas, con fechas ciertas y domiciliación.</w:t>
            </w:r>
          </w:p>
        </w:tc>
        <w:tc>
          <w:tcPr>
            <w:tcW w:type="dxa" w:w="3100"/>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Es el acuerdo estándar. Sirve para casi todos los proveedores ámbar.</w:t>
            </w:r>
          </w:p>
        </w:tc>
      </w:tr>
      <w:tr>
        <w:tc>
          <w:tcPr>
            <w:tcW w:type="dxa" w:w="25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sz w:val="19"/>
                <w:szCs w:val="19"/>
              </w:rPr>
              <w:t xml:space="preserve">Pago parcial inmediato + calendario del resto</w:t>
            </w:r>
          </w:p>
        </w:tc>
        <w:tc>
          <w:tcPr>
            <w:tcW w:type="dxa" w:w="40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Un pago inicial que demuestre voluntad (10–20 %) y el resto fraccionado.</w:t>
            </w:r>
          </w:p>
        </w:tc>
        <w:tc>
          <w:tcPr>
            <w:tcW w:type="dxa" w:w="31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Cuando la relación está deteriorada y hace falta un gesto que recupere la confianza.</w:t>
            </w:r>
          </w:p>
        </w:tc>
      </w:tr>
      <w:tr>
        <w:tc>
          <w:tcPr>
            <w:tcW w:type="dxa" w:w="2500"/>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sz w:val="19"/>
                <w:szCs w:val="19"/>
              </w:rPr>
              <w:t xml:space="preserve">Consumo corriente al contado + amortización de la deuda antigua</w:t>
            </w:r>
          </w:p>
        </w:tc>
        <w:tc>
          <w:tcPr>
            <w:tcW w:type="dxa" w:w="4000"/>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Se separan las dos cosas: lo nuevo se paga al contado o a plazo muy corto; lo viejo, en cuotas.</w:t>
            </w:r>
          </w:p>
        </w:tc>
        <w:tc>
          <w:tcPr>
            <w:tcW w:type="dxa" w:w="3100"/>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sz w:val="19"/>
                <w:szCs w:val="19"/>
              </w:rPr>
              <w:t xml:space="preserve">El acuerdo típico del gasoil.</w:t>
            </w:r>
            <w:r>
              <w:rPr>
                <w:rFonts w:ascii="Calibri" w:cs="Calibri" w:eastAsia="Calibri" w:hAnsi="Calibri"/>
                <w:b w:val="false"/>
                <w:bCs w:val="false"/>
                <w:i w:val="false"/>
                <w:iCs w:val="false"/>
                <w:sz w:val="19"/>
                <w:szCs w:val="19"/>
              </w:rPr>
              <w:t xml:space="preserve"> Garantiza el suministro y ordena el pasado.</w:t>
            </w:r>
          </w:p>
        </w:tc>
      </w:tr>
      <w:tr>
        <w:tc>
          <w:tcPr>
            <w:tcW w:type="dxa" w:w="25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sz w:val="19"/>
                <w:szCs w:val="19"/>
              </w:rPr>
              <w:t xml:space="preserve">Quita por pronto pago</w:t>
            </w:r>
          </w:p>
        </w:tc>
        <w:tc>
          <w:tcPr>
            <w:tcW w:type="dxa" w:w="40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El proveedor condona una parte (habitualmente 5–20 %) a cambio de cobrar el resto de inmediato.</w:t>
            </w:r>
          </w:p>
        </w:tc>
        <w:tc>
          <w:tcPr>
            <w:tcW w:type="dxa" w:w="31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Solo si hay caja o financiación disponible. Útil con acreedores pequeños para reducir el número de frentes abiertos.</w:t>
            </w:r>
          </w:p>
        </w:tc>
      </w:tr>
      <w:tr>
        <w:tc>
          <w:tcPr>
            <w:tcW w:type="dxa" w:w="2500"/>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sz w:val="19"/>
                <w:szCs w:val="19"/>
              </w:rPr>
              <w:t xml:space="preserve">Cambio de condiciones comerciales</w:t>
            </w:r>
          </w:p>
        </w:tc>
        <w:tc>
          <w:tcPr>
            <w:tcW w:type="dxa" w:w="4000"/>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Renegociar precio por compromiso de volumen, tarjeta de combustible con límite, descuentos por domiciliación.</w:t>
            </w:r>
          </w:p>
        </w:tc>
        <w:tc>
          <w:tcPr>
            <w:tcW w:type="dxa" w:w="3100"/>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Con proveedores estratégicos con los que interesa una relación a largo plazo.</w:t>
            </w:r>
          </w:p>
        </w:tc>
      </w:tr>
    </w:tbl>
    <w:p>
      <w:pPr>
        <w:pStyle w:val="Heading2"/>
        <w:spacing w:after="120" w:before="260"/>
      </w:pPr>
      <w:r>
        <w:rPr>
          <w:rFonts w:ascii="Calibri" w:cs="Calibri" w:eastAsia="Calibri" w:hAnsi="Calibri"/>
          <w:b/>
          <w:bCs/>
          <w:color w:val="2E74B5"/>
          <w:sz w:val="24"/>
          <w:szCs w:val="24"/>
        </w:rPr>
        <w:t xml:space="preserve">9.3. Caso especial: el proveedor de gasoil</w:t>
      </w:r>
    </w:p>
    <w:p>
      <w:pPr>
        <w:spacing w:after="120" w:line="264"/>
        <w:jc w:val="both"/>
      </w:pPr>
      <w:r>
        <w:rPr>
          <w:rFonts w:ascii="Calibri" w:cs="Calibri" w:eastAsia="Calibri" w:hAnsi="Calibri"/>
          <w:b w:val="false"/>
          <w:bCs w:val="false"/>
          <w:i w:val="false"/>
          <w:iCs w:val="false"/>
          <w:sz w:val="21"/>
          <w:szCs w:val="21"/>
        </w:rPr>
        <w:t xml:space="preserve">Merece una estrategia propia porque es el mayor acreedor y, simultáneamente, el único cuyo corte de suministro detiene la empresa. El objetivo de la negociación no es pagar menos: </w:t>
      </w:r>
      <w:r>
        <w:rPr>
          <w:rFonts w:ascii="Calibri" w:cs="Calibri" w:eastAsia="Calibri" w:hAnsi="Calibri"/>
          <w:b/>
          <w:bCs/>
          <w:i w:val="false"/>
          <w:iCs w:val="false"/>
          <w:sz w:val="21"/>
          <w:szCs w:val="21"/>
        </w:rPr>
        <w:t xml:space="preserve">es no quedarse sin gasoil, pase lo que pase.</w:t>
      </w:r>
    </w:p>
    <w:p>
      <w:pPr>
        <w:pStyle w:val="ListParagraph"/>
        <w:numPr>
          <w:ilvl w:val="0"/>
          <w:numId w:val="2"/>
        </w:numPr>
        <w:spacing w:after="70" w:line="264"/>
        <w:jc w:val="both"/>
      </w:pPr>
      <w:r>
        <w:rPr>
          <w:rFonts w:ascii="Calibri" w:cs="Calibri" w:eastAsia="Calibri" w:hAnsi="Calibri"/>
          <w:b/>
          <w:bCs/>
          <w:i w:val="false"/>
          <w:iCs w:val="false"/>
          <w:sz w:val="21"/>
          <w:szCs w:val="21"/>
        </w:rPr>
        <w:t xml:space="preserve">Separar deuda antigua de consumo corriente.</w:t>
      </w:r>
      <w:r>
        <w:rPr>
          <w:rFonts w:ascii="Calibri" w:cs="Calibri" w:eastAsia="Calibri" w:hAnsi="Calibri"/>
          <w:b w:val="false"/>
          <w:bCs w:val="false"/>
          <w:i w:val="false"/>
          <w:iCs w:val="false"/>
          <w:sz w:val="21"/>
          <w:szCs w:val="21"/>
        </w:rPr>
        <w:t xml:space="preserve"> Es la clave. Mientras la deuda antigua bloquee el suministro corriente, la empresa no puede generar el dinero con el que pagar esa misma deuda. Hay que explicárselo así, literalmente: *"si no repostamos, no facturamos, y si no facturamos no te puedo pagar a ti".*</w:t>
      </w:r>
    </w:p>
    <w:p>
      <w:pPr>
        <w:pStyle w:val="ListParagraph"/>
        <w:numPr>
          <w:ilvl w:val="0"/>
          <w:numId w:val="2"/>
        </w:numPr>
        <w:spacing w:after="70" w:line="264"/>
        <w:jc w:val="both"/>
      </w:pPr>
      <w:r>
        <w:rPr>
          <w:rFonts w:ascii="Calibri" w:cs="Calibri" w:eastAsia="Calibri" w:hAnsi="Calibri"/>
          <w:b/>
          <w:bCs/>
          <w:i w:val="false"/>
          <w:iCs w:val="false"/>
          <w:sz w:val="21"/>
          <w:szCs w:val="21"/>
        </w:rPr>
        <w:t xml:space="preserve">Proponer un esquema semanal, no mensual.</w:t>
      </w:r>
      <w:r>
        <w:rPr>
          <w:rFonts w:ascii="Calibri" w:cs="Calibri" w:eastAsia="Calibri" w:hAnsi="Calibri"/>
          <w:b w:val="false"/>
          <w:bCs w:val="false"/>
          <w:i w:val="false"/>
          <w:iCs w:val="false"/>
          <w:sz w:val="21"/>
          <w:szCs w:val="21"/>
        </w:rPr>
        <w:t xml:space="preserve"> En gasoil, el pago semanal es el estándar de confianza: importe fijo cada viernes por el consumo de la semana, más una cuota fija de amortización de la deuda anterior. Es predecible para ambas partes y fácil de cumplir.</w:t>
      </w:r>
    </w:p>
    <w:p>
      <w:pPr>
        <w:pStyle w:val="ListParagraph"/>
        <w:numPr>
          <w:ilvl w:val="0"/>
          <w:numId w:val="2"/>
        </w:numPr>
        <w:spacing w:after="70" w:line="264"/>
        <w:jc w:val="both"/>
      </w:pPr>
      <w:r>
        <w:rPr>
          <w:rFonts w:ascii="Calibri" w:cs="Calibri" w:eastAsia="Calibri" w:hAnsi="Calibri"/>
          <w:b/>
          <w:bCs/>
          <w:i w:val="false"/>
          <w:iCs w:val="false"/>
          <w:sz w:val="21"/>
          <w:szCs w:val="21"/>
        </w:rPr>
        <w:t xml:space="preserve">Poner límite al consumo.</w:t>
      </w:r>
      <w:r>
        <w:rPr>
          <w:rFonts w:ascii="Calibri" w:cs="Calibri" w:eastAsia="Calibri" w:hAnsi="Calibri"/>
          <w:b w:val="false"/>
          <w:bCs w:val="false"/>
          <w:i w:val="false"/>
          <w:iCs w:val="false"/>
          <w:sz w:val="21"/>
          <w:szCs w:val="21"/>
        </w:rPr>
        <w:t xml:space="preserve"> Una tarjeta de combustible con límite semanal controlado da seguridad al proveedor y disciplina interna a la empresa.</w:t>
      </w:r>
    </w:p>
    <w:p>
      <w:pPr>
        <w:pStyle w:val="ListParagraph"/>
        <w:numPr>
          <w:ilvl w:val="0"/>
          <w:numId w:val="2"/>
        </w:numPr>
        <w:spacing w:after="70" w:line="264"/>
        <w:jc w:val="both"/>
      </w:pPr>
      <w:r>
        <w:rPr>
          <w:rFonts w:ascii="Calibri" w:cs="Calibri" w:eastAsia="Calibri" w:hAnsi="Calibri"/>
          <w:b/>
          <w:bCs/>
          <w:i w:val="false"/>
          <w:iCs w:val="false"/>
          <w:sz w:val="21"/>
          <w:szCs w:val="21"/>
        </w:rPr>
        <w:t xml:space="preserve">Abrir un proveedor de respaldo, aunque sea pequeño.</w:t>
      </w:r>
      <w:r>
        <w:rPr>
          <w:rFonts w:ascii="Calibri" w:cs="Calibri" w:eastAsia="Calibri" w:hAnsi="Calibri"/>
          <w:b w:val="false"/>
          <w:bCs w:val="false"/>
          <w:i w:val="false"/>
          <w:iCs w:val="false"/>
          <w:sz w:val="21"/>
          <w:szCs w:val="21"/>
        </w:rPr>
        <w:t xml:space="preserve"> No para romper la relación principal, sino para eliminar el riesgo de parada total. Un segundo suministrador con condiciones de prepago —aunque sea más caro— es un seguro operativo, no un gasto.</w:t>
      </w:r>
    </w:p>
    <w:p>
      <w:pPr>
        <w:pStyle w:val="ListParagraph"/>
        <w:numPr>
          <w:ilvl w:val="0"/>
          <w:numId w:val="2"/>
        </w:numPr>
        <w:spacing w:after="70" w:line="264"/>
        <w:jc w:val="both"/>
      </w:pPr>
      <w:r>
        <w:rPr>
          <w:rFonts w:ascii="Calibri" w:cs="Calibri" w:eastAsia="Calibri" w:hAnsi="Calibri"/>
          <w:b/>
          <w:bCs/>
          <w:i w:val="false"/>
          <w:iCs w:val="false"/>
          <w:sz w:val="21"/>
          <w:szCs w:val="21"/>
        </w:rPr>
        <w:t xml:space="preserve">Cuidado con las garantías.</w:t>
      </w:r>
      <w:r>
        <w:rPr>
          <w:rFonts w:ascii="Calibri" w:cs="Calibri" w:eastAsia="Calibri" w:hAnsi="Calibri"/>
          <w:b w:val="false"/>
          <w:bCs w:val="false"/>
          <w:i w:val="false"/>
          <w:iCs w:val="false"/>
          <w:sz w:val="21"/>
          <w:szCs w:val="21"/>
        </w:rPr>
        <w:t xml:space="preserve"> Es habitual que el proveedor pida aval personal o pagarés personales de la administradora. Antes de firmar nada de eso hay que valorar con un abogado qué se está poniendo en riesgo: un aval personal convierte una deuda de la sociedad en una deuda de Jennifer.</w:t>
      </w:r>
    </w:p>
    <w:p>
      <w:pPr>
        <w:pStyle w:val="Heading2"/>
        <w:spacing w:after="120" w:before="260"/>
      </w:pPr>
      <w:r>
        <w:rPr>
          <w:rFonts w:ascii="Calibri" w:cs="Calibri" w:eastAsia="Calibri" w:hAnsi="Calibri"/>
          <w:b/>
          <w:bCs/>
          <w:color w:val="2E74B5"/>
          <w:sz w:val="24"/>
          <w:szCs w:val="24"/>
        </w:rPr>
        <w:t xml:space="preserve">9.4. Guion de la conversación</w:t>
      </w:r>
    </w:p>
    <w:p>
      <w:pPr>
        <w:spacing w:after="120" w:line="264"/>
        <w:jc w:val="both"/>
      </w:pPr>
      <w:r>
        <w:rPr>
          <w:rFonts w:ascii="Calibri" w:cs="Calibri" w:eastAsia="Calibri" w:hAnsi="Calibri"/>
          <w:b w:val="false"/>
          <w:bCs w:val="false"/>
          <w:i w:val="false"/>
          <w:iCs w:val="false"/>
          <w:sz w:val="21"/>
          <w:szCs w:val="21"/>
        </w:rPr>
        <w:t xml:space="preserve">El guion completo, con frases concretas, está en el </w:t>
      </w:r>
      <w:r>
        <w:rPr>
          <w:rFonts w:ascii="Calibri" w:cs="Calibri" w:eastAsia="Calibri" w:hAnsi="Calibri"/>
          <w:b/>
          <w:bCs/>
          <w:i w:val="false"/>
          <w:iCs w:val="false"/>
          <w:sz w:val="21"/>
          <w:szCs w:val="21"/>
        </w:rPr>
        <w:t xml:space="preserve">Anexo C</w:t>
      </w:r>
      <w:r>
        <w:rPr>
          <w:rFonts w:ascii="Calibri" w:cs="Calibri" w:eastAsia="Calibri" w:hAnsi="Calibri"/>
          <w:b w:val="false"/>
          <w:bCs w:val="false"/>
          <w:i w:val="false"/>
          <w:iCs w:val="false"/>
          <w:sz w:val="21"/>
          <w:szCs w:val="21"/>
        </w:rPr>
        <w:t xml:space="preserve">. Su estructura es siempre la misma, en seis pasos: (1) reconocer la deuda sin excusas; (2) explicar la situación en una frase, sin dramatizar; (3) proponer nosotros un calendario concreto; (4) pedir el compromiso de mantener el suministro; (5) cerrar con fecha, importe y forma de pago; (6) confirmarlo por escrito el mismo día.</w:t>
      </w:r>
    </w:p>
    <w:p>
      <w:pPr>
        <w:pStyle w:val="Heading2"/>
        <w:spacing w:after="120" w:before="260"/>
      </w:pPr>
      <w:r>
        <w:rPr>
          <w:rFonts w:ascii="Calibri" w:cs="Calibri" w:eastAsia="Calibri" w:hAnsi="Calibri"/>
          <w:b/>
          <w:bCs/>
          <w:color w:val="2E74B5"/>
          <w:sz w:val="24"/>
          <w:szCs w:val="24"/>
        </w:rPr>
        <w:t xml:space="preserve">9.5. Lo que destruye una negociación</w:t>
      </w:r>
    </w:p>
    <w:tbl>
      <w:tblPr>
        <w:tblW w:type="dxa" w:w="9600"/>
        <w:tblBorders>
          <w:top w:val="single" w:color="BFBFBF" w:sz="4"/>
          <w:left w:val="single" w:color="BFBFBF" w:sz="4"/>
          <w:bottom w:val="single" w:color="BFBFBF" w:sz="4"/>
          <w:right w:val="single" w:color="BFBFBF" w:sz="4"/>
          <w:insideH w:val="single" w:color="D9D9D9" w:sz="2"/>
          <w:insideV w:val="single" w:color="D9D9D9" w:sz="2"/>
        </w:tblBorders>
      </w:tblPr>
      <w:tblGrid>
        <w:gridCol w:w="3400"/>
        <w:gridCol w:w="6200"/>
      </w:tblGrid>
      <w:tr>
        <w:trPr>
          <w:tblHeader/>
        </w:trPr>
        <w:tc>
          <w:tcPr>
            <w:tcW w:type="dxa" w:w="3400"/>
            <w:shd w:fill="1F3864"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color w:val="FFFFFF"/>
                <w:sz w:val="19"/>
                <w:szCs w:val="19"/>
              </w:rPr>
              <w:t xml:space="preserve">Error</w:t>
            </w:r>
          </w:p>
        </w:tc>
        <w:tc>
          <w:tcPr>
            <w:tcW w:type="dxa" w:w="6200"/>
            <w:shd w:fill="1F3864"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color w:val="FFFFFF"/>
                <w:sz w:val="19"/>
                <w:szCs w:val="19"/>
              </w:rPr>
              <w:t xml:space="preserve">Efecto</w:t>
            </w:r>
          </w:p>
        </w:tc>
      </w:tr>
      <w:tr>
        <w:tc>
          <w:tcPr>
            <w:tcW w:type="dxa" w:w="3400"/>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sz w:val="19"/>
                <w:szCs w:val="19"/>
              </w:rPr>
              <w:t xml:space="preserve">Prometer un calendario que no cabe en el presupuesto de tesorería</w:t>
            </w:r>
          </w:p>
        </w:tc>
        <w:tc>
          <w:tcPr>
            <w:tcW w:type="dxa" w:w="6200"/>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El primer incumplimiento anula todos los acuerdos posteriores. Es preferible ofrecer menos y cumplirlo.</w:t>
            </w:r>
          </w:p>
        </w:tc>
      </w:tr>
      <w:tr>
        <w:tc>
          <w:tcPr>
            <w:tcW w:type="dxa" w:w="34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sz w:val="19"/>
                <w:szCs w:val="19"/>
              </w:rPr>
              <w:t xml:space="preserve">No confirmar por escrito lo hablado</w:t>
            </w:r>
          </w:p>
        </w:tc>
        <w:tc>
          <w:tcPr>
            <w:tcW w:type="dxa" w:w="62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El acuerdo no existe: ni para el proveedor, ni ante un juez, ni para el propio control interno.</w:t>
            </w:r>
          </w:p>
        </w:tc>
      </w:tr>
      <w:tr>
        <w:tc>
          <w:tcPr>
            <w:tcW w:type="dxa" w:w="3400"/>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sz w:val="19"/>
                <w:szCs w:val="19"/>
              </w:rPr>
              <w:t xml:space="preserve">Negociar cada semana con el mismo proveedor</w:t>
            </w:r>
          </w:p>
        </w:tc>
        <w:tc>
          <w:tcPr>
            <w:tcW w:type="dxa" w:w="6200"/>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Señal de descontrol. Se negocia una vez, con un calendario completo, y se cumple.</w:t>
            </w:r>
          </w:p>
        </w:tc>
      </w:tr>
      <w:tr>
        <w:tc>
          <w:tcPr>
            <w:tcW w:type="dxa" w:w="34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sz w:val="19"/>
                <w:szCs w:val="19"/>
              </w:rPr>
              <w:t xml:space="preserve">Que el proveedor se entere del incumplimiento por el impago</w:t>
            </w:r>
          </w:p>
        </w:tc>
        <w:tc>
          <w:tcPr>
            <w:tcW w:type="dxa" w:w="62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Si una cuota no va a poder pagarse, se avisa </w:t>
            </w:r>
            <w:r>
              <w:rPr>
                <w:rFonts w:ascii="Calibri" w:cs="Calibri" w:eastAsia="Calibri" w:hAnsi="Calibri"/>
                <w:b/>
                <w:bCs/>
                <w:i w:val="false"/>
                <w:iCs w:val="false"/>
                <w:sz w:val="19"/>
                <w:szCs w:val="19"/>
              </w:rPr>
              <w:t xml:space="preserve">antes</w:t>
            </w:r>
            <w:r>
              <w:rPr>
                <w:rFonts w:ascii="Calibri" w:cs="Calibri" w:eastAsia="Calibri" w:hAnsi="Calibri"/>
                <w:b w:val="false"/>
                <w:bCs w:val="false"/>
                <w:i w:val="false"/>
                <w:iCs w:val="false"/>
                <w:sz w:val="19"/>
                <w:szCs w:val="19"/>
              </w:rPr>
              <w:t xml:space="preserve">, con propuesta alternativa. Eso conserva la relación; el silencio la rompe.</w:t>
            </w:r>
          </w:p>
        </w:tc>
      </w:tr>
    </w:tbl>
    <w:p>
      <w:pPr>
        <w:pStyle w:val="Heading1"/>
        <w:pageBreakBefore/>
        <w:pBdr>
          <w:bottom w:val="single" w:color="2E74B5" w:sz="8" w:space="6"/>
        </w:pBdr>
        <w:spacing w:after="180" w:before="240"/>
      </w:pPr>
      <w:r>
        <w:rPr>
          <w:rFonts w:ascii="Calibri" w:cs="Calibri" w:eastAsia="Calibri" w:hAnsi="Calibri"/>
          <w:b/>
          <w:bCs/>
          <w:color w:val="1F3864"/>
          <w:sz w:val="30"/>
          <w:szCs w:val="30"/>
        </w:rPr>
        <w:t xml:space="preserve">10. Palancas para generar caja</w:t>
      </w:r>
    </w:p>
    <w:p>
      <w:pPr>
        <w:spacing w:after="120" w:line="264"/>
        <w:jc w:val="both"/>
      </w:pPr>
      <w:r>
        <w:rPr>
          <w:rFonts w:ascii="Calibri" w:cs="Calibri" w:eastAsia="Calibri" w:hAnsi="Calibri"/>
          <w:b w:val="false"/>
          <w:bCs w:val="false"/>
          <w:i w:val="false"/>
          <w:iCs w:val="false"/>
          <w:sz w:val="21"/>
          <w:szCs w:val="21"/>
        </w:rPr>
        <w:t xml:space="preserve">Un plan de pagos reparte el dinero que hay. Estas palancas </w:t>
      </w:r>
      <w:r>
        <w:rPr>
          <w:rFonts w:ascii="Calibri" w:cs="Calibri" w:eastAsia="Calibri" w:hAnsi="Calibri"/>
          <w:b/>
          <w:bCs/>
          <w:i w:val="false"/>
          <w:iCs w:val="false"/>
          <w:sz w:val="21"/>
          <w:szCs w:val="21"/>
        </w:rPr>
        <w:t xml:space="preserve">traen dinero nuevo</w:t>
      </w:r>
      <w:r>
        <w:rPr>
          <w:rFonts w:ascii="Calibri" w:cs="Calibri" w:eastAsia="Calibri" w:hAnsi="Calibri"/>
          <w:b w:val="false"/>
          <w:bCs w:val="false"/>
          <w:i w:val="false"/>
          <w:iCs w:val="false"/>
          <w:sz w:val="21"/>
          <w:szCs w:val="21"/>
        </w:rPr>
        <w:t xml:space="preserve">, y algunas de ellas son de efecto casi inmediato. Ordenadas por rapidez de impacto:</w:t>
      </w:r>
    </w:p>
    <w:tbl>
      <w:tblPr>
        <w:tblW w:type="dxa" w:w="9600"/>
        <w:tblBorders>
          <w:top w:val="single" w:color="BFBFBF" w:sz="4"/>
          <w:left w:val="single" w:color="BFBFBF" w:sz="4"/>
          <w:bottom w:val="single" w:color="BFBFBF" w:sz="4"/>
          <w:right w:val="single" w:color="BFBFBF" w:sz="4"/>
          <w:insideH w:val="single" w:color="D9D9D9" w:sz="2"/>
          <w:insideV w:val="single" w:color="D9D9D9" w:sz="2"/>
        </w:tblBorders>
      </w:tblPr>
      <w:tblGrid>
        <w:gridCol w:w="4200"/>
        <w:gridCol w:w="2400"/>
        <w:gridCol w:w="1600"/>
        <w:gridCol w:w="1400"/>
      </w:tblGrid>
      <w:tr>
        <w:trPr>
          <w:tblHeader/>
        </w:trPr>
        <w:tc>
          <w:tcPr>
            <w:tcW w:type="dxa" w:w="4200"/>
            <w:shd w:fill="1F3864"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color w:val="FFFFFF"/>
                <w:sz w:val="19"/>
                <w:szCs w:val="19"/>
              </w:rPr>
              <w:t xml:space="preserve">Palanca</w:t>
            </w:r>
          </w:p>
        </w:tc>
        <w:tc>
          <w:tcPr>
            <w:tcW w:type="dxa" w:w="2400"/>
            <w:shd w:fill="1F3864"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color w:val="FFFFFF"/>
                <w:sz w:val="19"/>
                <w:szCs w:val="19"/>
              </w:rPr>
              <w:t xml:space="preserve">Velocidad</w:t>
            </w:r>
          </w:p>
        </w:tc>
        <w:tc>
          <w:tcPr>
            <w:tcW w:type="dxa" w:w="1600"/>
            <w:shd w:fill="1F3864"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color w:val="FFFFFF"/>
                <w:sz w:val="19"/>
                <w:szCs w:val="19"/>
              </w:rPr>
              <w:t xml:space="preserve">Esfuerzo</w:t>
            </w:r>
          </w:p>
        </w:tc>
        <w:tc>
          <w:tcPr>
            <w:tcW w:type="dxa" w:w="1400"/>
            <w:shd w:fill="1F3864"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color w:val="FFFFFF"/>
                <w:sz w:val="19"/>
                <w:szCs w:val="19"/>
              </w:rPr>
              <w:t xml:space="preserve">Dónde</w:t>
            </w:r>
          </w:p>
        </w:tc>
      </w:tr>
      <w:tr>
        <w:tc>
          <w:tcPr>
            <w:tcW w:type="dxa" w:w="4200"/>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sz w:val="19"/>
                <w:szCs w:val="19"/>
              </w:rPr>
              <w:t xml:space="preserve">Cobro sistemático de clientes vencidos</w:t>
            </w:r>
          </w:p>
        </w:tc>
        <w:tc>
          <w:tcPr>
            <w:tcW w:type="dxa" w:w="2400"/>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Días</w:t>
            </w:r>
          </w:p>
        </w:tc>
        <w:tc>
          <w:tcPr>
            <w:tcW w:type="dxa" w:w="1600"/>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Bajo</w:t>
            </w:r>
          </w:p>
        </w:tc>
        <w:tc>
          <w:tcPr>
            <w:tcW w:type="dxa" w:w="1400"/>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10.1</w:t>
            </w:r>
          </w:p>
        </w:tc>
      </w:tr>
      <w:tr>
        <w:tc>
          <w:tcPr>
            <w:tcW w:type="dxa" w:w="42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sz w:val="19"/>
                <w:szCs w:val="19"/>
              </w:rPr>
              <w:t xml:space="preserve">Ayudas y devoluciones del gasóleo (plazos abiertos)</w:t>
            </w:r>
          </w:p>
        </w:tc>
        <w:tc>
          <w:tcPr>
            <w:tcW w:type="dxa" w:w="24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Semanas</w:t>
            </w:r>
          </w:p>
        </w:tc>
        <w:tc>
          <w:tcPr>
            <w:tcW w:type="dxa" w:w="16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Bajo</w:t>
            </w:r>
          </w:p>
        </w:tc>
        <w:tc>
          <w:tcPr>
            <w:tcW w:type="dxa" w:w="14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10.3</w:t>
            </w:r>
          </w:p>
        </w:tc>
      </w:tr>
      <w:tr>
        <w:tc>
          <w:tcPr>
            <w:tcW w:type="dxa" w:w="4200"/>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sz w:val="19"/>
                <w:szCs w:val="19"/>
              </w:rPr>
              <w:t xml:space="preserve">Cláusula de revisión del precio por gasóleo</w:t>
            </w:r>
          </w:p>
        </w:tc>
        <w:tc>
          <w:tcPr>
            <w:tcW w:type="dxa" w:w="2400"/>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Inmediato en facturación nueva</w:t>
            </w:r>
          </w:p>
        </w:tc>
        <w:tc>
          <w:tcPr>
            <w:tcW w:type="dxa" w:w="1600"/>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Bajo</w:t>
            </w:r>
          </w:p>
        </w:tc>
        <w:tc>
          <w:tcPr>
            <w:tcW w:type="dxa" w:w="1400"/>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10.2</w:t>
            </w:r>
          </w:p>
        </w:tc>
      </w:tr>
      <w:tr>
        <w:tc>
          <w:tcPr>
            <w:tcW w:type="dxa" w:w="42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sz w:val="19"/>
                <w:szCs w:val="19"/>
              </w:rPr>
              <w:t xml:space="preserve">Aplazamiento de deuda con AEAT y TGSS</w:t>
            </w:r>
          </w:p>
        </w:tc>
        <w:tc>
          <w:tcPr>
            <w:tcW w:type="dxa" w:w="24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2–6 semanas</w:t>
            </w:r>
          </w:p>
        </w:tc>
        <w:tc>
          <w:tcPr>
            <w:tcW w:type="dxa" w:w="16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Medio</w:t>
            </w:r>
          </w:p>
        </w:tc>
        <w:tc>
          <w:tcPr>
            <w:tcW w:type="dxa" w:w="14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10.5</w:t>
            </w:r>
          </w:p>
        </w:tc>
      </w:tr>
      <w:tr>
        <w:tc>
          <w:tcPr>
            <w:tcW w:type="dxa" w:w="4200"/>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sz w:val="19"/>
                <w:szCs w:val="19"/>
              </w:rPr>
              <w:t xml:space="preserve">Anticipo de facturas / factoring / confirming</w:t>
            </w:r>
          </w:p>
        </w:tc>
        <w:tc>
          <w:tcPr>
            <w:tcW w:type="dxa" w:w="2400"/>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2–4 semanas</w:t>
            </w:r>
          </w:p>
        </w:tc>
        <w:tc>
          <w:tcPr>
            <w:tcW w:type="dxa" w:w="1600"/>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Medio</w:t>
            </w:r>
          </w:p>
        </w:tc>
        <w:tc>
          <w:tcPr>
            <w:tcW w:type="dxa" w:w="1400"/>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10.4</w:t>
            </w:r>
          </w:p>
        </w:tc>
      </w:tr>
      <w:tr>
        <w:tc>
          <w:tcPr>
            <w:tcW w:type="dxa" w:w="42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sz w:val="19"/>
                <w:szCs w:val="19"/>
              </w:rPr>
              <w:t xml:space="preserve">Recuperación del IVA de facturas impagadas</w:t>
            </w:r>
          </w:p>
        </w:tc>
        <w:tc>
          <w:tcPr>
            <w:tcW w:type="dxa" w:w="24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1–3 meses</w:t>
            </w:r>
          </w:p>
        </w:tc>
        <w:tc>
          <w:tcPr>
            <w:tcW w:type="dxa" w:w="16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Medio</w:t>
            </w:r>
          </w:p>
        </w:tc>
        <w:tc>
          <w:tcPr>
            <w:tcW w:type="dxa" w:w="14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10.6</w:t>
            </w:r>
          </w:p>
        </w:tc>
      </w:tr>
      <w:tr>
        <w:tc>
          <w:tcPr>
            <w:tcW w:type="dxa" w:w="4200"/>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sz w:val="19"/>
                <w:szCs w:val="19"/>
              </w:rPr>
              <w:t xml:space="preserve">Revisión de rutas y clientes no rentables</w:t>
            </w:r>
          </w:p>
        </w:tc>
        <w:tc>
          <w:tcPr>
            <w:tcW w:type="dxa" w:w="2400"/>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1–3 meses</w:t>
            </w:r>
          </w:p>
        </w:tc>
        <w:tc>
          <w:tcPr>
            <w:tcW w:type="dxa" w:w="1600"/>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Alto</w:t>
            </w:r>
          </w:p>
        </w:tc>
        <w:tc>
          <w:tcPr>
            <w:tcW w:type="dxa" w:w="1400"/>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10.7</w:t>
            </w:r>
          </w:p>
        </w:tc>
      </w:tr>
      <w:tr>
        <w:tc>
          <w:tcPr>
            <w:tcW w:type="dxa" w:w="42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sz w:val="19"/>
                <w:szCs w:val="19"/>
              </w:rPr>
              <w:t xml:space="preserve">Activos ociosos y renegociación de leasing</w:t>
            </w:r>
          </w:p>
        </w:tc>
        <w:tc>
          <w:tcPr>
            <w:tcW w:type="dxa" w:w="24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1–3 meses</w:t>
            </w:r>
          </w:p>
        </w:tc>
        <w:tc>
          <w:tcPr>
            <w:tcW w:type="dxa" w:w="16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Medio</w:t>
            </w:r>
          </w:p>
        </w:tc>
        <w:tc>
          <w:tcPr>
            <w:tcW w:type="dxa" w:w="14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10.8</w:t>
            </w:r>
          </w:p>
        </w:tc>
      </w:tr>
    </w:tbl>
    <w:p>
      <w:pPr>
        <w:pStyle w:val="Heading2"/>
        <w:spacing w:after="120" w:before="260"/>
      </w:pPr>
      <w:r>
        <w:rPr>
          <w:rFonts w:ascii="Calibri" w:cs="Calibri" w:eastAsia="Calibri" w:hAnsi="Calibri"/>
          <w:b/>
          <w:bCs/>
          <w:color w:val="2E74B5"/>
          <w:sz w:val="24"/>
          <w:szCs w:val="24"/>
        </w:rPr>
        <w:t xml:space="preserve">10.1. Cobrar antes y mejor: el mayor yacimiento de caja</w:t>
      </w:r>
    </w:p>
    <w:p>
      <w:pPr>
        <w:spacing w:after="120" w:line="264"/>
        <w:jc w:val="both"/>
      </w:pPr>
      <w:r>
        <w:rPr>
          <w:rFonts w:ascii="Calibri" w:cs="Calibri" w:eastAsia="Calibri" w:hAnsi="Calibri"/>
          <w:b w:val="false"/>
          <w:bCs w:val="false"/>
          <w:i w:val="false"/>
          <w:iCs w:val="false"/>
          <w:sz w:val="21"/>
          <w:szCs w:val="21"/>
        </w:rPr>
        <w:t xml:space="preserve">En la mayoría de las empresas de transporte en tensión, hay más dinero pendiente de cobrar de clientes que capacidad de negociar con proveedores. Y ese dinero ya es nuestro.</w:t>
      </w:r>
    </w:p>
    <w:p>
      <w:pPr>
        <w:pStyle w:val="ListParagraph"/>
        <w:numPr>
          <w:ilvl w:val="0"/>
          <w:numId w:val="3"/>
        </w:numPr>
        <w:spacing w:after="70" w:line="264"/>
        <w:jc w:val="both"/>
      </w:pPr>
      <w:r>
        <w:rPr>
          <w:rFonts w:ascii="Calibri" w:cs="Calibri" w:eastAsia="Calibri" w:hAnsi="Calibri"/>
          <w:b/>
          <w:bCs/>
          <w:i w:val="false"/>
          <w:iCs w:val="false"/>
          <w:sz w:val="21"/>
          <w:szCs w:val="21"/>
        </w:rPr>
        <w:t xml:space="preserve">Rutina de cobro semanal.</w:t>
      </w:r>
      <w:r>
        <w:rPr>
          <w:rFonts w:ascii="Calibri" w:cs="Calibri" w:eastAsia="Calibri" w:hAnsi="Calibri"/>
          <w:b w:val="false"/>
          <w:bCs w:val="false"/>
          <w:i w:val="false"/>
          <w:iCs w:val="false"/>
          <w:sz w:val="21"/>
          <w:szCs w:val="21"/>
        </w:rPr>
        <w:t xml:space="preserve"> Cada viernes, revisión del aging de clientes y llamada sistemática a todo lo vencido a más de 7 días. Un proceso, no un impulso.</w:t>
      </w:r>
    </w:p>
    <w:p>
      <w:pPr>
        <w:pStyle w:val="ListParagraph"/>
        <w:numPr>
          <w:ilvl w:val="0"/>
          <w:numId w:val="3"/>
        </w:numPr>
        <w:spacing w:after="70" w:line="264"/>
        <w:jc w:val="both"/>
      </w:pPr>
      <w:r>
        <w:rPr>
          <w:rFonts w:ascii="Calibri" w:cs="Calibri" w:eastAsia="Calibri" w:hAnsi="Calibri"/>
          <w:b/>
          <w:bCs/>
          <w:i w:val="false"/>
          <w:iCs w:val="false"/>
          <w:sz w:val="21"/>
          <w:szCs w:val="21"/>
        </w:rPr>
        <w:t xml:space="preserve">El plazo legal juega a nuestro favor.</w:t>
      </w:r>
      <w:r>
        <w:rPr>
          <w:rFonts w:ascii="Calibri" w:cs="Calibri" w:eastAsia="Calibri" w:hAnsi="Calibri"/>
          <w:b w:val="false"/>
          <w:bCs w:val="false"/>
          <w:i w:val="false"/>
          <w:iCs w:val="false"/>
          <w:sz w:val="21"/>
          <w:szCs w:val="21"/>
        </w:rPr>
        <w:t xml:space="preserve"> En el transporte de mercancías por carretera el plazo de pago es de </w:t>
      </w:r>
      <w:r>
        <w:rPr>
          <w:rFonts w:ascii="Calibri" w:cs="Calibri" w:eastAsia="Calibri" w:hAnsi="Calibri"/>
          <w:b/>
          <w:bCs/>
          <w:i w:val="false"/>
          <w:iCs w:val="false"/>
          <w:sz w:val="21"/>
          <w:szCs w:val="21"/>
        </w:rPr>
        <w:t xml:space="preserve">30 días</w:t>
      </w:r>
      <w:r>
        <w:rPr>
          <w:rFonts w:ascii="Calibri" w:cs="Calibri" w:eastAsia="Calibri" w:hAnsi="Calibri"/>
          <w:b w:val="false"/>
          <w:bCs w:val="false"/>
          <w:i w:val="false"/>
          <w:iCs w:val="false"/>
          <w:sz w:val="21"/>
          <w:szCs w:val="21"/>
        </w:rPr>
        <w:t xml:space="preserve"> desde la entrega, ampliable por pacto expreso hasta un </w:t>
      </w:r>
      <w:r>
        <w:rPr>
          <w:rFonts w:ascii="Calibri" w:cs="Calibri" w:eastAsia="Calibri" w:hAnsi="Calibri"/>
          <w:b/>
          <w:bCs/>
          <w:i w:val="false"/>
          <w:iCs w:val="false"/>
          <w:sz w:val="21"/>
          <w:szCs w:val="21"/>
        </w:rPr>
        <w:t xml:space="preserve">máximo de 60 días</w:t>
      </w:r>
      <w:r>
        <w:rPr>
          <w:rFonts w:ascii="Calibri" w:cs="Calibri" w:eastAsia="Calibri" w:hAnsi="Calibri"/>
          <w:b w:val="false"/>
          <w:bCs w:val="false"/>
          <w:i w:val="false"/>
          <w:iCs w:val="false"/>
          <w:sz w:val="21"/>
          <w:szCs w:val="21"/>
        </w:rPr>
        <w:t xml:space="preserve">; los pactos que lo superen son nulos. La Ley 13/2021 introdujo además un régimen sancionador específico para cargadores e intermediarios que incumplen el plazo máximo, con infracción grave o muy grave según si el precio del transporte supera los 3.000 €. Recordárselo educadamente a un cliente que paga a 90 días suele ser suficiente.</w:t>
      </w:r>
    </w:p>
    <w:p>
      <w:pPr>
        <w:pStyle w:val="ListParagraph"/>
        <w:numPr>
          <w:ilvl w:val="0"/>
          <w:numId w:val="3"/>
        </w:numPr>
        <w:spacing w:after="70" w:line="264"/>
        <w:jc w:val="both"/>
      </w:pPr>
      <w:r>
        <w:rPr>
          <w:rFonts w:ascii="Calibri" w:cs="Calibri" w:eastAsia="Calibri" w:hAnsi="Calibri"/>
          <w:b/>
          <w:bCs/>
          <w:i w:val="false"/>
          <w:iCs w:val="false"/>
          <w:sz w:val="21"/>
          <w:szCs w:val="21"/>
        </w:rPr>
        <w:t xml:space="preserve">Intereses de demora y costes de cobro.</w:t>
      </w:r>
      <w:r>
        <w:rPr>
          <w:rFonts w:ascii="Calibri" w:cs="Calibri" w:eastAsia="Calibri" w:hAnsi="Calibri"/>
          <w:b w:val="false"/>
          <w:bCs w:val="false"/>
          <w:i w:val="false"/>
          <w:iCs w:val="false"/>
          <w:sz w:val="21"/>
          <w:szCs w:val="21"/>
        </w:rPr>
        <w:t xml:space="preserve"> La Ley 3/2004 reconoce el derecho a intereses de demora —fijados en el </w:t>
      </w:r>
      <w:r>
        <w:rPr>
          <w:rFonts w:ascii="Calibri" w:cs="Calibri" w:eastAsia="Calibri" w:hAnsi="Calibri"/>
          <w:b/>
          <w:bCs/>
          <w:i w:val="false"/>
          <w:iCs w:val="false"/>
          <w:sz w:val="21"/>
          <w:szCs w:val="21"/>
        </w:rPr>
        <w:t xml:space="preserve">10,40 % anual para el segundo semestre de 2026</w:t>
      </w:r>
      <w:r>
        <w:rPr>
          <w:rFonts w:ascii="Calibri" w:cs="Calibri" w:eastAsia="Calibri" w:hAnsi="Calibri"/>
          <w:b w:val="false"/>
          <w:bCs w:val="false"/>
          <w:i w:val="false"/>
          <w:iCs w:val="false"/>
          <w:sz w:val="21"/>
          <w:szCs w:val="21"/>
        </w:rPr>
        <w:t xml:space="preserve">— y a una indemnización fija de </w:t>
      </w:r>
      <w:r>
        <w:rPr>
          <w:rFonts w:ascii="Calibri" w:cs="Calibri" w:eastAsia="Calibri" w:hAnsi="Calibri"/>
          <w:b/>
          <w:bCs/>
          <w:i w:val="false"/>
          <w:iCs w:val="false"/>
          <w:sz w:val="21"/>
          <w:szCs w:val="21"/>
        </w:rPr>
        <w:t xml:space="preserve">40 € por factura</w:t>
      </w:r>
      <w:r>
        <w:rPr>
          <w:rFonts w:ascii="Calibri" w:cs="Calibri" w:eastAsia="Calibri" w:hAnsi="Calibri"/>
          <w:b w:val="false"/>
          <w:bCs w:val="false"/>
          <w:i w:val="false"/>
          <w:iCs w:val="false"/>
          <w:sz w:val="21"/>
          <w:szCs w:val="21"/>
        </w:rPr>
        <w:t xml:space="preserve"> en concepto de costes de cobro. No siempre conviene reclamarlos, pero siempre conviene mencionarlos.</w:t>
      </w:r>
    </w:p>
    <w:p>
      <w:pPr>
        <w:pStyle w:val="ListParagraph"/>
        <w:numPr>
          <w:ilvl w:val="0"/>
          <w:numId w:val="3"/>
        </w:numPr>
        <w:spacing w:after="70" w:line="264"/>
        <w:jc w:val="both"/>
      </w:pPr>
      <w:r>
        <w:rPr>
          <w:rFonts w:ascii="Calibri" w:cs="Calibri" w:eastAsia="Calibri" w:hAnsi="Calibri"/>
          <w:b/>
          <w:bCs/>
          <w:i w:val="false"/>
          <w:iCs w:val="false"/>
          <w:sz w:val="21"/>
          <w:szCs w:val="21"/>
        </w:rPr>
        <w:t xml:space="preserve">Procedimiento monitorio.</w:t>
      </w:r>
      <w:r>
        <w:rPr>
          <w:rFonts w:ascii="Calibri" w:cs="Calibri" w:eastAsia="Calibri" w:hAnsi="Calibri"/>
          <w:b w:val="false"/>
          <w:bCs w:val="false"/>
          <w:i w:val="false"/>
          <w:iCs w:val="false"/>
          <w:sz w:val="21"/>
          <w:szCs w:val="21"/>
        </w:rPr>
        <w:t xml:space="preserve"> Para deudas claras y documentadas (carta de porte, albarán firmado y factura) es un procedimiento rápido y no exige abogado ni procurador por debajo de 2.000 €. Reservarlo para los casos en que la relación comercial ya está perdida.</w:t>
      </w:r>
    </w:p>
    <w:p>
      <w:pPr>
        <w:pStyle w:val="ListParagraph"/>
        <w:numPr>
          <w:ilvl w:val="0"/>
          <w:numId w:val="3"/>
        </w:numPr>
        <w:spacing w:after="70" w:line="264"/>
        <w:jc w:val="both"/>
      </w:pPr>
      <w:r>
        <w:rPr>
          <w:rFonts w:ascii="Calibri" w:cs="Calibri" w:eastAsia="Calibri" w:hAnsi="Calibri"/>
          <w:b/>
          <w:bCs/>
          <w:i w:val="false"/>
          <w:iCs w:val="false"/>
          <w:sz w:val="21"/>
          <w:szCs w:val="21"/>
        </w:rPr>
        <w:t xml:space="preserve">Condicionar el servicio.</w:t>
      </w:r>
      <w:r>
        <w:rPr>
          <w:rFonts w:ascii="Calibri" w:cs="Calibri" w:eastAsia="Calibri" w:hAnsi="Calibri"/>
          <w:b w:val="false"/>
          <w:bCs w:val="false"/>
          <w:i w:val="false"/>
          <w:iCs w:val="false"/>
          <w:sz w:val="21"/>
          <w:szCs w:val="21"/>
        </w:rPr>
        <w:t xml:space="preserve"> Un cliente que acumula impagos y sigue recibiendo servicio está siendo financiado por nosotros, precisamente con el dinero que nos reclama el proveedor de gasoil.</w:t>
      </w:r>
    </w:p>
    <w:p>
      <w:pPr>
        <w:pStyle w:val="Heading2"/>
        <w:spacing w:after="120" w:before="260"/>
      </w:pPr>
      <w:r>
        <w:rPr>
          <w:rFonts w:ascii="Calibri" w:cs="Calibri" w:eastAsia="Calibri" w:hAnsi="Calibri"/>
          <w:b/>
          <w:bCs/>
          <w:color w:val="2E74B5"/>
          <w:sz w:val="24"/>
          <w:szCs w:val="24"/>
        </w:rPr>
        <w:t xml:space="preserve">10.2. La cláusula de revisión del precio por variación del gasóleo</w:t>
      </w:r>
    </w:p>
    <w:p>
      <w:pPr>
        <w:spacing w:after="120" w:line="264"/>
        <w:jc w:val="both"/>
      </w:pPr>
      <w:r>
        <w:rPr>
          <w:rFonts w:ascii="Calibri" w:cs="Calibri" w:eastAsia="Calibri" w:hAnsi="Calibri"/>
          <w:b w:val="false"/>
          <w:bCs w:val="false"/>
          <w:i w:val="false"/>
          <w:iCs w:val="false"/>
          <w:sz w:val="21"/>
          <w:szCs w:val="21"/>
        </w:rPr>
        <w:t xml:space="preserve">Es probablemente la palanca peor aprovechada del sector. La normativa vigente establece que la revisión del precio del transporte por variación del precio del combustible es de </w:t>
      </w:r>
      <w:r>
        <w:rPr>
          <w:rFonts w:ascii="Calibri" w:cs="Calibri" w:eastAsia="Calibri" w:hAnsi="Calibri"/>
          <w:b/>
          <w:bCs/>
          <w:i w:val="false"/>
          <w:iCs w:val="false"/>
          <w:sz w:val="21"/>
          <w:szCs w:val="21"/>
        </w:rPr>
        <w:t xml:space="preserve">aplicación obligatoria e inescindible</w:t>
      </w:r>
      <w:r>
        <w:rPr>
          <w:rFonts w:ascii="Calibri" w:cs="Calibri" w:eastAsia="Calibri" w:hAnsi="Calibri"/>
          <w:b w:val="false"/>
          <w:bCs w:val="false"/>
          <w:i w:val="false"/>
          <w:iCs w:val="false"/>
          <w:sz w:val="21"/>
          <w:szCs w:val="21"/>
        </w:rPr>
        <w:t xml:space="preserve">, debe reflejarse </w:t>
      </w:r>
      <w:r>
        <w:rPr>
          <w:rFonts w:ascii="Calibri" w:cs="Calibri" w:eastAsia="Calibri" w:hAnsi="Calibri"/>
          <w:b/>
          <w:bCs/>
          <w:i w:val="false"/>
          <w:iCs w:val="false"/>
          <w:sz w:val="21"/>
          <w:szCs w:val="21"/>
        </w:rPr>
        <w:t xml:space="preserve">desglosada en la factura</w:t>
      </w:r>
      <w:r>
        <w:rPr>
          <w:rFonts w:ascii="Calibri" w:cs="Calibri" w:eastAsia="Calibri" w:hAnsi="Calibri"/>
          <w:b w:val="false"/>
          <w:bCs w:val="false"/>
          <w:i w:val="false"/>
          <w:iCs w:val="false"/>
          <w:sz w:val="21"/>
          <w:szCs w:val="21"/>
        </w:rPr>
        <w:t xml:space="preserve">, y cualquier pacto en contrario es nulo. Aplica de forma automática en los contratos de transporte continuado.</w:t>
      </w:r>
    </w:p>
    <w:tbl>
      <w:tblPr>
        <w:tblW w:type="dxa" w:w="9600"/>
        <w:tblBorders>
          <w:top w:val="single" w:color="C6E0B4" w:sz="2"/>
          <w:left w:val="single" w:color="2E74B5" w:sz="18"/>
          <w:bottom w:val="single" w:color="C6E0B4" w:sz="2"/>
          <w:right w:val="single" w:color="C6E0B4" w:sz="2"/>
          <w:insideH w:val="none"/>
          <w:insideV w:val="none"/>
        </w:tblBorders>
      </w:tblPr>
      <w:tblGrid>
        <w:gridCol w:w="9600"/>
      </w:tblGrid>
      <w:tr>
        <w:tc>
          <w:tcPr>
            <w:tcW w:type="dxa" w:w="9600"/>
            <w:shd w:fill="C6E0B4" w:color="auto" w:val="clear"/>
            <w:tcMar>
              <w:top w:type="dxa" w:w="140"/>
              <w:left w:type="dxa" w:w="200"/>
              <w:bottom w:type="dxa" w:w="140"/>
              <w:right w:type="dxa" w:w="200"/>
            </w:tcMar>
          </w:tcPr>
          <w:p>
            <w:pPr>
              <w:spacing w:after="80" w:before="40"/>
            </w:pPr>
            <w:r>
              <w:rPr>
                <w:rFonts w:ascii="Calibri" w:cs="Calibri" w:eastAsia="Calibri" w:hAnsi="Calibri"/>
                <w:b/>
                <w:bCs/>
                <w:i w:val="false"/>
                <w:iCs w:val="false"/>
                <w:color w:val="1F3864"/>
                <w:sz w:val="21"/>
                <w:szCs w:val="21"/>
              </w:rPr>
              <w:t xml:space="preserve">Acción concreta</w:t>
            </w:r>
          </w:p>
          <w:p>
            <w:pPr>
              <w:spacing w:after="60" w:line="252"/>
              <w:jc w:val="both"/>
            </w:pPr>
            <w:r>
              <w:rPr>
                <w:rFonts w:ascii="Calibri" w:cs="Calibri" w:eastAsia="Calibri" w:hAnsi="Calibri"/>
                <w:b w:val="false"/>
                <w:bCs w:val="false"/>
                <w:i w:val="false"/>
                <w:iCs w:val="false"/>
                <w:sz w:val="20"/>
                <w:szCs w:val="20"/>
              </w:rPr>
              <w:t xml:space="preserve">Revisar con la gestoría, esta semana, si la cláusula se está aplicando y facturando de forma desglosada a </w:t>
            </w:r>
            <w:r>
              <w:rPr>
                <w:rFonts w:ascii="Calibri" w:cs="Calibri" w:eastAsia="Calibri" w:hAnsi="Calibri"/>
                <w:b/>
                <w:bCs/>
                <w:i w:val="false"/>
                <w:iCs w:val="false"/>
                <w:sz w:val="20"/>
                <w:szCs w:val="20"/>
              </w:rPr>
              <w:t xml:space="preserve">todos</w:t>
            </w:r>
            <w:r>
              <w:rPr>
                <w:rFonts w:ascii="Calibri" w:cs="Calibri" w:eastAsia="Calibri" w:hAnsi="Calibri"/>
                <w:b w:val="false"/>
                <w:bCs w:val="false"/>
                <w:i w:val="false"/>
                <w:iCs w:val="false"/>
                <w:sz w:val="20"/>
                <w:szCs w:val="20"/>
              </w:rPr>
              <w:t xml:space="preserve"> los clientes. Si no es así, se está renunciando a margen al que la empresa tiene derecho por ley, justo en el capítulo de coste que más está apretando. Es dinero que no requiere negociación: requiere facturarlo bien.</w:t>
            </w:r>
          </w:p>
        </w:tc>
      </w:tr>
    </w:tbl>
    <w:p>
      <w:pPr>
        <w:pStyle w:val="Heading2"/>
        <w:spacing w:after="120" w:before="260"/>
      </w:pPr>
      <w:r>
        <w:rPr>
          <w:rFonts w:ascii="Calibri" w:cs="Calibri" w:eastAsia="Calibri" w:hAnsi="Calibri"/>
          <w:b/>
          <w:bCs/>
          <w:color w:val="2E74B5"/>
          <w:sz w:val="24"/>
          <w:szCs w:val="24"/>
        </w:rPr>
        <w:t xml:space="preserve">10.3. Gasóleo profesional y ayudas al carburante</w:t>
      </w:r>
    </w:p>
    <w:p>
      <w:pPr>
        <w:spacing w:after="120" w:line="264"/>
        <w:jc w:val="both"/>
      </w:pPr>
      <w:r>
        <w:rPr>
          <w:rFonts w:ascii="Calibri" w:cs="Calibri" w:eastAsia="Calibri" w:hAnsi="Calibri"/>
          <w:b w:val="false"/>
          <w:bCs w:val="false"/>
          <w:i w:val="false"/>
          <w:iCs w:val="false"/>
          <w:sz w:val="21"/>
          <w:szCs w:val="21"/>
        </w:rPr>
        <w:t xml:space="preserve">El régimen de gasóleo profesional permite recuperar parte del Impuesto sobre Hidrocarburos del combustible consumido por vehículos de más de 7,5 toneladas, mediante devolución mensual de la AEAT, con un límite de 50.000 litros por vehículo y año.</w:t>
      </w:r>
    </w:p>
    <w:p>
      <w:pPr>
        <w:pStyle w:val="ListParagraph"/>
        <w:numPr>
          <w:ilvl w:val="0"/>
          <w:numId w:val="2"/>
        </w:numPr>
        <w:spacing w:after="70" w:line="264"/>
        <w:jc w:val="both"/>
      </w:pPr>
      <w:r>
        <w:rPr>
          <w:rFonts w:ascii="Calibri" w:cs="Calibri" w:eastAsia="Calibri" w:hAnsi="Calibri"/>
          <w:b/>
          <w:bCs/>
          <w:i w:val="false"/>
          <w:iCs w:val="false"/>
          <w:sz w:val="21"/>
          <w:szCs w:val="21"/>
        </w:rPr>
        <w:t xml:space="preserve">Comprobar que todos los vehículos están dados de alta</w:t>
      </w:r>
      <w:r>
        <w:rPr>
          <w:rFonts w:ascii="Calibri" w:cs="Calibri" w:eastAsia="Calibri" w:hAnsi="Calibri"/>
          <w:b w:val="false"/>
          <w:bCs w:val="false"/>
          <w:i w:val="false"/>
          <w:iCs w:val="false"/>
          <w:sz w:val="21"/>
          <w:szCs w:val="21"/>
        </w:rPr>
        <w:t xml:space="preserve"> en el censo de gasóleo profesional y que </w:t>
      </w:r>
      <w:r>
        <w:rPr>
          <w:rFonts w:ascii="Calibri" w:cs="Calibri" w:eastAsia="Calibri" w:hAnsi="Calibri"/>
          <w:b/>
          <w:bCs/>
          <w:i w:val="false"/>
          <w:iCs w:val="false"/>
          <w:sz w:val="21"/>
          <w:szCs w:val="21"/>
        </w:rPr>
        <w:t xml:space="preserve">todas las tarjetas de repostaje están vinculadas</w:t>
      </w:r>
      <w:r>
        <w:rPr>
          <w:rFonts w:ascii="Calibri" w:cs="Calibri" w:eastAsia="Calibri" w:hAnsi="Calibri"/>
          <w:b w:val="false"/>
          <w:bCs w:val="false"/>
          <w:i w:val="false"/>
          <w:iCs w:val="false"/>
          <w:sz w:val="21"/>
          <w:szCs w:val="21"/>
        </w:rPr>
        <w:t xml:space="preserve"> a ese censo. Es un error frecuente: un vehículo nuevo o una tarjeta no vinculada significa perder la devolución de todo su consumo.</w:t>
      </w:r>
    </w:p>
    <w:p>
      <w:pPr>
        <w:pStyle w:val="ListParagraph"/>
        <w:numPr>
          <w:ilvl w:val="0"/>
          <w:numId w:val="2"/>
        </w:numPr>
        <w:spacing w:after="70" w:line="264"/>
        <w:jc w:val="both"/>
      </w:pPr>
      <w:r>
        <w:rPr>
          <w:rFonts w:ascii="Calibri" w:cs="Calibri" w:eastAsia="Calibri" w:hAnsi="Calibri"/>
          <w:b/>
          <w:bCs/>
          <w:i w:val="false"/>
          <w:iCs w:val="false"/>
          <w:sz w:val="21"/>
          <w:szCs w:val="21"/>
        </w:rPr>
        <w:t xml:space="preserve">Verificar que las devoluciones se están cobrando efectivamente</w:t>
      </w:r>
      <w:r>
        <w:rPr>
          <w:rFonts w:ascii="Calibri" w:cs="Calibri" w:eastAsia="Calibri" w:hAnsi="Calibri"/>
          <w:b w:val="false"/>
          <w:bCs w:val="false"/>
          <w:i w:val="false"/>
          <w:iCs w:val="false"/>
          <w:sz w:val="21"/>
          <w:szCs w:val="21"/>
        </w:rPr>
        <w:t xml:space="preserve"> y que la cuenta bancaria vinculada está activa.</w:t>
      </w:r>
    </w:p>
    <w:p>
      <w:pPr>
        <w:pStyle w:val="ListParagraph"/>
        <w:numPr>
          <w:ilvl w:val="0"/>
          <w:numId w:val="2"/>
        </w:numPr>
        <w:spacing w:after="70" w:line="264"/>
        <w:jc w:val="both"/>
      </w:pPr>
      <w:r>
        <w:rPr>
          <w:rFonts w:ascii="Calibri" w:cs="Calibri" w:eastAsia="Calibri" w:hAnsi="Calibri"/>
          <w:b/>
          <w:bCs/>
          <w:i w:val="false"/>
          <w:iCs w:val="false"/>
          <w:sz w:val="21"/>
          <w:szCs w:val="21"/>
        </w:rPr>
        <w:t xml:space="preserve">Atención a las medidas extraordinarias de 2026.</w:t>
      </w:r>
      <w:r>
        <w:rPr>
          <w:rFonts w:ascii="Calibri" w:cs="Calibri" w:eastAsia="Calibri" w:hAnsi="Calibri"/>
          <w:b w:val="false"/>
          <w:bCs w:val="false"/>
          <w:i w:val="false"/>
          <w:iCs w:val="false"/>
          <w:sz w:val="21"/>
          <w:szCs w:val="21"/>
        </w:rPr>
        <w:t xml:space="preserve"> Durante 2026 se han aprobado medidas específicas sobre el Impuesto sobre Hidrocarburos y ayudas directas por litro consumido para el transporte (Reales Decretos-leyes 7/2026 y 18/2026), con ventanas de solicitud electrónica ante la AEAT. Según la información publicada, el plazo de solicitud del paquete vigente finaliza el </w:t>
      </w:r>
      <w:r>
        <w:rPr>
          <w:rFonts w:ascii="Calibri" w:cs="Calibri" w:eastAsia="Calibri" w:hAnsi="Calibri"/>
          <w:b/>
          <w:bCs/>
          <w:i w:val="false"/>
          <w:iCs w:val="false"/>
          <w:sz w:val="21"/>
          <w:szCs w:val="21"/>
        </w:rPr>
        <w:t xml:space="preserve">30 de octubre de 2026</w:t>
      </w:r>
      <w:r>
        <w:rPr>
          <w:rFonts w:ascii="Calibri" w:cs="Calibri" w:eastAsia="Calibri" w:hAnsi="Calibri"/>
          <w:b w:val="false"/>
          <w:bCs w:val="false"/>
          <w:i w:val="false"/>
          <w:iCs w:val="false"/>
          <w:sz w:val="21"/>
          <w:szCs w:val="21"/>
        </w:rPr>
        <w:t xml:space="preserve">.</w:t>
      </w:r>
    </w:p>
    <w:tbl>
      <w:tblPr>
        <w:tblW w:type="dxa" w:w="9600"/>
        <w:tblBorders>
          <w:top w:val="single" w:color="FFE699" w:sz="2"/>
          <w:left w:val="single" w:color="2E74B5" w:sz="18"/>
          <w:bottom w:val="single" w:color="FFE699" w:sz="2"/>
          <w:right w:val="single" w:color="FFE699" w:sz="2"/>
          <w:insideH w:val="none"/>
          <w:insideV w:val="none"/>
        </w:tblBorders>
      </w:tblPr>
      <w:tblGrid>
        <w:gridCol w:w="9600"/>
      </w:tblGrid>
      <w:tr>
        <w:tc>
          <w:tcPr>
            <w:tcW w:type="dxa" w:w="9600"/>
            <w:shd w:fill="FFE699" w:color="auto" w:val="clear"/>
            <w:tcMar>
              <w:top w:type="dxa" w:w="140"/>
              <w:left w:type="dxa" w:w="200"/>
              <w:bottom w:type="dxa" w:w="140"/>
              <w:right w:type="dxa" w:w="200"/>
            </w:tcMar>
          </w:tcPr>
          <w:p>
            <w:pPr>
              <w:spacing w:after="80" w:before="40"/>
            </w:pPr>
            <w:r>
              <w:rPr>
                <w:rFonts w:ascii="Calibri" w:cs="Calibri" w:eastAsia="Calibri" w:hAnsi="Calibri"/>
                <w:b/>
                <w:bCs/>
                <w:i w:val="false"/>
                <w:iCs w:val="false"/>
                <w:color w:val="1F3864"/>
                <w:sz w:val="21"/>
                <w:szCs w:val="21"/>
              </w:rPr>
              <w:t xml:space="preserve">Acción urgente y con fecha</w:t>
            </w:r>
          </w:p>
          <w:p>
            <w:pPr>
              <w:spacing w:after="60" w:line="252"/>
              <w:jc w:val="both"/>
            </w:pPr>
            <w:r>
              <w:rPr>
                <w:rFonts w:ascii="Calibri" w:cs="Calibri" w:eastAsia="Calibri" w:hAnsi="Calibri"/>
                <w:b w:val="false"/>
                <w:bCs w:val="false"/>
                <w:i w:val="false"/>
                <w:iCs w:val="false"/>
                <w:sz w:val="20"/>
                <w:szCs w:val="20"/>
              </w:rPr>
              <w:t xml:space="preserve">Confirmar </w:t>
            </w:r>
            <w:r>
              <w:rPr>
                <w:rFonts w:ascii="Calibri" w:cs="Calibri" w:eastAsia="Calibri" w:hAnsi="Calibri"/>
                <w:b/>
                <w:bCs/>
                <w:i w:val="false"/>
                <w:iCs w:val="false"/>
                <w:sz w:val="20"/>
                <w:szCs w:val="20"/>
              </w:rPr>
              <w:t xml:space="preserve">esta semana</w:t>
            </w:r>
            <w:r>
              <w:rPr>
                <w:rFonts w:ascii="Calibri" w:cs="Calibri" w:eastAsia="Calibri" w:hAnsi="Calibri"/>
                <w:b w:val="false"/>
                <w:bCs w:val="false"/>
                <w:i w:val="false"/>
                <w:iCs w:val="false"/>
                <w:sz w:val="20"/>
                <w:szCs w:val="20"/>
              </w:rPr>
              <w:t xml:space="preserve"> con la gestoría qué ayudas del paquete de 2026 corresponden a Transportes Araya, qué vehículos son elegibles y presentar la solicitud antes del cierre del plazo. Es caja directa, no requiere negociar con nadie y </w:t>
            </w:r>
            <w:r>
              <w:rPr>
                <w:rFonts w:ascii="Calibri" w:cs="Calibri" w:eastAsia="Calibri" w:hAnsi="Calibri"/>
                <w:b/>
                <w:bCs/>
                <w:i w:val="false"/>
                <w:iCs w:val="false"/>
                <w:sz w:val="20"/>
                <w:szCs w:val="20"/>
              </w:rPr>
              <w:t xml:space="preserve">caduca</w:t>
            </w:r>
            <w:r>
              <w:rPr>
                <w:rFonts w:ascii="Calibri" w:cs="Calibri" w:eastAsia="Calibri" w:hAnsi="Calibri"/>
                <w:b w:val="false"/>
                <w:bCs w:val="false"/>
                <w:i w:val="false"/>
                <w:iCs w:val="false"/>
                <w:sz w:val="20"/>
                <w:szCs w:val="20"/>
              </w:rPr>
              <w:t xml:space="preserve">. Dado que estas medidas se han ido modificando y prorrogando a lo largo del año, los importes y plazos concretos deben confirmarse con la gestoría o en la sede electrónica de la AEAT antes de presentar.</w:t>
            </w:r>
          </w:p>
        </w:tc>
      </w:tr>
    </w:tbl>
    <w:p>
      <w:pPr>
        <w:pStyle w:val="Heading2"/>
        <w:spacing w:after="120" w:before="260"/>
      </w:pPr>
      <w:r>
        <w:rPr>
          <w:rFonts w:ascii="Calibri" w:cs="Calibri" w:eastAsia="Calibri" w:hAnsi="Calibri"/>
          <w:b/>
          <w:bCs/>
          <w:color w:val="2E74B5"/>
          <w:sz w:val="24"/>
          <w:szCs w:val="24"/>
        </w:rPr>
        <w:t xml:space="preserve">10.4. Financiación del circulante</w:t>
      </w:r>
    </w:p>
    <w:tbl>
      <w:tblPr>
        <w:tblW w:type="dxa" w:w="9600"/>
        <w:tblBorders>
          <w:top w:val="single" w:color="BFBFBF" w:sz="4"/>
          <w:left w:val="single" w:color="BFBFBF" w:sz="4"/>
          <w:bottom w:val="single" w:color="BFBFBF" w:sz="4"/>
          <w:right w:val="single" w:color="BFBFBF" w:sz="4"/>
          <w:insideH w:val="single" w:color="D9D9D9" w:sz="2"/>
          <w:insideV w:val="single" w:color="D9D9D9" w:sz="2"/>
        </w:tblBorders>
      </w:tblPr>
      <w:tblGrid>
        <w:gridCol w:w="2500"/>
        <w:gridCol w:w="3300"/>
        <w:gridCol w:w="3800"/>
      </w:tblGrid>
      <w:tr>
        <w:trPr>
          <w:tblHeader/>
        </w:trPr>
        <w:tc>
          <w:tcPr>
            <w:tcW w:type="dxa" w:w="2500"/>
            <w:shd w:fill="1F3864"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color w:val="FFFFFF"/>
                <w:sz w:val="19"/>
                <w:szCs w:val="19"/>
              </w:rPr>
              <w:t xml:space="preserve">Instrumento</w:t>
            </w:r>
          </w:p>
        </w:tc>
        <w:tc>
          <w:tcPr>
            <w:tcW w:type="dxa" w:w="3300"/>
            <w:shd w:fill="1F3864"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color w:val="FFFFFF"/>
                <w:sz w:val="19"/>
                <w:szCs w:val="19"/>
              </w:rPr>
              <w:t xml:space="preserve">Qué hace</w:t>
            </w:r>
          </w:p>
        </w:tc>
        <w:tc>
          <w:tcPr>
            <w:tcW w:type="dxa" w:w="3800"/>
            <w:shd w:fill="1F3864"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color w:val="FFFFFF"/>
                <w:sz w:val="19"/>
                <w:szCs w:val="19"/>
              </w:rPr>
              <w:t xml:space="preserve">A tener en cuenta</w:t>
            </w:r>
          </w:p>
        </w:tc>
      </w:tr>
      <w:tr>
        <w:tc>
          <w:tcPr>
            <w:tcW w:type="dxa" w:w="2500"/>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sz w:val="19"/>
                <w:szCs w:val="19"/>
              </w:rPr>
              <w:t xml:space="preserve">Anticipo de facturas / factoring</w:t>
            </w:r>
          </w:p>
        </w:tc>
        <w:tc>
          <w:tcPr>
            <w:tcW w:type="dxa" w:w="3300"/>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Convierte facturas pendientes en caja inmediata.</w:t>
            </w:r>
          </w:p>
        </w:tc>
        <w:tc>
          <w:tcPr>
            <w:tcW w:type="dxa" w:w="3800"/>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Preferible el </w:t>
            </w:r>
            <w:r>
              <w:rPr>
                <w:rFonts w:ascii="Calibri" w:cs="Calibri" w:eastAsia="Calibri" w:hAnsi="Calibri"/>
                <w:b/>
                <w:bCs/>
                <w:i w:val="false"/>
                <w:iCs w:val="false"/>
                <w:sz w:val="19"/>
                <w:szCs w:val="19"/>
              </w:rPr>
              <w:t xml:space="preserve">factoring sin recurso</w:t>
            </w:r>
            <w:r>
              <w:rPr>
                <w:rFonts w:ascii="Calibri" w:cs="Calibri" w:eastAsia="Calibri" w:hAnsi="Calibri"/>
                <w:b w:val="false"/>
                <w:bCs w:val="false"/>
                <w:i w:val="false"/>
                <w:iCs w:val="false"/>
                <w:sz w:val="19"/>
                <w:szCs w:val="19"/>
              </w:rPr>
              <w:t xml:space="preserve">: además de dar liquidez, traslada el riesgo de impago. Más caro, pero es el que de verdad protege.</w:t>
            </w:r>
          </w:p>
        </w:tc>
      </w:tr>
      <w:tr>
        <w:tc>
          <w:tcPr>
            <w:tcW w:type="dxa" w:w="25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sz w:val="19"/>
                <w:szCs w:val="19"/>
              </w:rPr>
              <w:t xml:space="preserve">Confirming del cliente</w:t>
            </w:r>
          </w:p>
        </w:tc>
        <w:tc>
          <w:tcPr>
            <w:tcW w:type="dxa" w:w="33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Si un cliente grande tiene línea de confirming, permite cobrar anticipadamente con coste reducido.</w:t>
            </w:r>
          </w:p>
        </w:tc>
        <w:tc>
          <w:tcPr>
            <w:tcW w:type="dxa" w:w="38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Es la opción más barata cuando está disponible. Merece la pena preguntarlo a los clientes principales.</w:t>
            </w:r>
          </w:p>
        </w:tc>
      </w:tr>
      <w:tr>
        <w:tc>
          <w:tcPr>
            <w:tcW w:type="dxa" w:w="2500"/>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sz w:val="19"/>
                <w:szCs w:val="19"/>
              </w:rPr>
              <w:t xml:space="preserve">Póliza de crédito</w:t>
            </w:r>
          </w:p>
        </w:tc>
        <w:tc>
          <w:tcPr>
            <w:tcW w:type="dxa" w:w="3300"/>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Colchón para las puntas de tesorería.</w:t>
            </w:r>
          </w:p>
        </w:tc>
        <w:tc>
          <w:tcPr>
            <w:tcW w:type="dxa" w:w="3800"/>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No debe usarse para financiar pérdidas estructurales: solo desfases temporales.</w:t>
            </w:r>
          </w:p>
        </w:tc>
      </w:tr>
      <w:tr>
        <w:tc>
          <w:tcPr>
            <w:tcW w:type="dxa" w:w="25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sz w:val="19"/>
                <w:szCs w:val="19"/>
              </w:rPr>
              <w:t xml:space="preserve">Avales y líneas ICO / sociedades de garantía recíproca</w:t>
            </w:r>
          </w:p>
        </w:tc>
        <w:tc>
          <w:tcPr>
            <w:tcW w:type="dxa" w:w="33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Facilitan acceso a financiación con menor exigencia de garantías.</w:t>
            </w:r>
          </w:p>
        </w:tc>
        <w:tc>
          <w:tcPr>
            <w:tcW w:type="dxa" w:w="38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Plazos de tramitación más largos: iniciar pronto si va a necesitarse.</w:t>
            </w:r>
          </w:p>
        </w:tc>
      </w:tr>
    </w:tbl>
    <w:p>
      <w:pPr>
        <w:spacing w:after="120" w:line="264"/>
        <w:jc w:val="both"/>
      </w:pPr>
      <w:r>
        <w:rPr>
          <w:rFonts w:ascii="Calibri" w:cs="Calibri" w:eastAsia="Calibri" w:hAnsi="Calibri"/>
          <w:b/>
          <w:bCs/>
          <w:i w:val="false"/>
          <w:iCs w:val="false"/>
          <w:sz w:val="21"/>
          <w:szCs w:val="21"/>
        </w:rPr>
        <w:t xml:space="preserve">Advertencia.</w:t>
      </w:r>
      <w:r>
        <w:rPr>
          <w:rFonts w:ascii="Calibri" w:cs="Calibri" w:eastAsia="Calibri" w:hAnsi="Calibri"/>
          <w:b w:val="false"/>
          <w:bCs w:val="false"/>
          <w:i w:val="false"/>
          <w:iCs w:val="false"/>
          <w:sz w:val="21"/>
          <w:szCs w:val="21"/>
        </w:rPr>
        <w:t xml:space="preserve"> La financiación resuelve un problema de calendario, nunca un problema de margen. Si el test del apartado 3.3 indicó que el coste por kilómetro no se cubre, endeudarse agranda el problema en lugar de resolverlo.</w:t>
      </w:r>
    </w:p>
    <w:p>
      <w:pPr>
        <w:pStyle w:val="Heading2"/>
        <w:spacing w:after="120" w:before="260"/>
      </w:pPr>
      <w:r>
        <w:rPr>
          <w:rFonts w:ascii="Calibri" w:cs="Calibri" w:eastAsia="Calibri" w:hAnsi="Calibri"/>
          <w:b/>
          <w:bCs/>
          <w:color w:val="2E74B5"/>
          <w:sz w:val="24"/>
          <w:szCs w:val="24"/>
        </w:rPr>
        <w:t xml:space="preserve">10.5. Aplazar la deuda con AEAT y Seguridad Social</w:t>
      </w:r>
    </w:p>
    <w:p>
      <w:pPr>
        <w:spacing w:after="120" w:line="264"/>
        <w:jc w:val="both"/>
      </w:pPr>
      <w:r>
        <w:rPr>
          <w:rFonts w:ascii="Calibri" w:cs="Calibri" w:eastAsia="Calibri" w:hAnsi="Calibri"/>
          <w:b w:val="false"/>
          <w:bCs w:val="false"/>
          <w:i w:val="false"/>
          <w:iCs w:val="false"/>
          <w:sz w:val="21"/>
          <w:szCs w:val="21"/>
        </w:rPr>
        <w:t xml:space="preserve">Convertir deuda pública vencida en cuotas mensuales es, en muchos casos, la forma más rápida y barata de liberar caja para pagar el gasoil. Y es un procedimiento reglado, no un favor.</w:t>
      </w:r>
    </w:p>
    <w:p>
      <w:pPr>
        <w:pStyle w:val="ListParagraph"/>
        <w:numPr>
          <w:ilvl w:val="0"/>
          <w:numId w:val="3"/>
        </w:numPr>
        <w:spacing w:after="70" w:line="264"/>
        <w:jc w:val="both"/>
      </w:pPr>
      <w:r>
        <w:rPr>
          <w:rFonts w:ascii="Calibri" w:cs="Calibri" w:eastAsia="Calibri" w:hAnsi="Calibri"/>
          <w:b/>
          <w:bCs/>
          <w:i w:val="false"/>
          <w:iCs w:val="false"/>
          <w:sz w:val="21"/>
          <w:szCs w:val="21"/>
        </w:rPr>
        <w:t xml:space="preserve">AEAT.</w:t>
      </w:r>
      <w:r>
        <w:rPr>
          <w:rFonts w:ascii="Calibri" w:cs="Calibri" w:eastAsia="Calibri" w:hAnsi="Calibri"/>
          <w:b w:val="false"/>
          <w:bCs w:val="false"/>
          <w:i w:val="false"/>
          <w:iCs w:val="false"/>
          <w:sz w:val="21"/>
          <w:szCs w:val="21"/>
        </w:rPr>
        <w:t xml:space="preserve"> Es posible solicitar aplazamiento o fraccionamiento </w:t>
      </w:r>
      <w:r>
        <w:rPr>
          <w:rFonts w:ascii="Calibri" w:cs="Calibri" w:eastAsia="Calibri" w:hAnsi="Calibri"/>
          <w:b/>
          <w:bCs/>
          <w:i w:val="false"/>
          <w:iCs w:val="false"/>
          <w:sz w:val="21"/>
          <w:szCs w:val="21"/>
        </w:rPr>
        <w:t xml:space="preserve">sin necesidad de aportar garantías hasta 50.000 €</w:t>
      </w:r>
      <w:r>
        <w:rPr>
          <w:rFonts w:ascii="Calibri" w:cs="Calibri" w:eastAsia="Calibri" w:hAnsi="Calibri"/>
          <w:b w:val="false"/>
          <w:bCs w:val="false"/>
          <w:i w:val="false"/>
          <w:iCs w:val="false"/>
          <w:sz w:val="21"/>
          <w:szCs w:val="21"/>
        </w:rPr>
        <w:t xml:space="preserve"> de deuda acumulada (límite elevado desde los 30.000 € anteriores por la Orden HFP/311/2023). El límite es </w:t>
      </w:r>
      <w:r>
        <w:rPr>
          <w:rFonts w:ascii="Calibri" w:cs="Calibri" w:eastAsia="Calibri" w:hAnsi="Calibri"/>
          <w:b/>
          <w:bCs/>
          <w:i w:val="false"/>
          <w:iCs w:val="false"/>
          <w:sz w:val="21"/>
          <w:szCs w:val="21"/>
        </w:rPr>
        <w:t xml:space="preserve">acumulado</w:t>
      </w:r>
      <w:r>
        <w:rPr>
          <w:rFonts w:ascii="Calibri" w:cs="Calibri" w:eastAsia="Calibri" w:hAnsi="Calibri"/>
          <w:b w:val="false"/>
          <w:bCs w:val="false"/>
          <w:i w:val="false"/>
          <w:iCs w:val="false"/>
          <w:sz w:val="21"/>
          <w:szCs w:val="21"/>
        </w:rPr>
        <w:t xml:space="preserve">: la Agencia suma todas las deudas aplazadas vigentes sin garantía. La solicitud se presenta por sede electrónica y devenga interés de demora tributario (4,0625 % anual en 2026, muy por debajo de cualquier financiación bancaria en esta situación).</w:t>
      </w:r>
    </w:p>
    <w:p>
      <w:pPr>
        <w:pStyle w:val="ListParagraph"/>
        <w:numPr>
          <w:ilvl w:val="0"/>
          <w:numId w:val="3"/>
        </w:numPr>
        <w:spacing w:after="70" w:line="264"/>
        <w:jc w:val="both"/>
      </w:pPr>
      <w:r>
        <w:rPr>
          <w:rFonts w:ascii="Calibri" w:cs="Calibri" w:eastAsia="Calibri" w:hAnsi="Calibri"/>
          <w:b/>
          <w:bCs/>
          <w:i w:val="false"/>
          <w:iCs w:val="false"/>
          <w:sz w:val="21"/>
          <w:szCs w:val="21"/>
        </w:rPr>
        <w:t xml:space="preserve">Seguridad Social.</w:t>
      </w:r>
      <w:r>
        <w:rPr>
          <w:rFonts w:ascii="Calibri" w:cs="Calibri" w:eastAsia="Calibri" w:hAnsi="Calibri"/>
          <w:b w:val="false"/>
          <w:bCs w:val="false"/>
          <w:i w:val="false"/>
          <w:iCs w:val="false"/>
          <w:sz w:val="21"/>
          <w:szCs w:val="21"/>
        </w:rPr>
        <w:t xml:space="preserve"> También admite aplazamiento, con recargo. Importante: determinados conceptos </w:t>
      </w:r>
      <w:r>
        <w:rPr>
          <w:rFonts w:ascii="Calibri" w:cs="Calibri" w:eastAsia="Calibri" w:hAnsi="Calibri"/>
          <w:b/>
          <w:bCs/>
          <w:i w:val="false"/>
          <w:iCs w:val="false"/>
          <w:sz w:val="21"/>
          <w:szCs w:val="21"/>
        </w:rPr>
        <w:t xml:space="preserve">no son aplazables</w:t>
      </w:r>
      <w:r>
        <w:rPr>
          <w:rFonts w:ascii="Calibri" w:cs="Calibri" w:eastAsia="Calibri" w:hAnsi="Calibri"/>
          <w:b w:val="false"/>
          <w:bCs w:val="false"/>
          <w:i w:val="false"/>
          <w:iCs w:val="false"/>
          <w:sz w:val="21"/>
          <w:szCs w:val="21"/>
        </w:rPr>
        <w:t xml:space="preserve">, señaladamente las cuotas por contingencias profesionales (accidentes de trabajo y enfermedades profesionales) y la aportación del trabajador. Hay que contar con pagarlas en efectivo.</w:t>
      </w:r>
    </w:p>
    <w:p>
      <w:pPr>
        <w:pStyle w:val="ListParagraph"/>
        <w:numPr>
          <w:ilvl w:val="0"/>
          <w:numId w:val="3"/>
        </w:numPr>
        <w:spacing w:after="70" w:line="264"/>
        <w:jc w:val="both"/>
      </w:pPr>
      <w:r>
        <w:rPr>
          <w:rFonts w:ascii="Calibri" w:cs="Calibri" w:eastAsia="Calibri" w:hAnsi="Calibri"/>
          <w:b/>
          <w:bCs/>
          <w:i w:val="false"/>
          <w:iCs w:val="false"/>
          <w:sz w:val="21"/>
          <w:szCs w:val="21"/>
        </w:rPr>
        <w:t xml:space="preserve">Efecto colateral valioso:</w:t>
      </w:r>
      <w:r>
        <w:rPr>
          <w:rFonts w:ascii="Calibri" w:cs="Calibri" w:eastAsia="Calibri" w:hAnsi="Calibri"/>
          <w:b w:val="false"/>
          <w:bCs w:val="false"/>
          <w:i w:val="false"/>
          <w:iCs w:val="false"/>
          <w:sz w:val="21"/>
          <w:szCs w:val="21"/>
        </w:rPr>
        <w:t xml:space="preserve"> un aplazamiento concedido y al corriente permite obtener el certificado de estar al corriente de obligaciones, necesario para contratar con administraciones públicas y para determinadas líneas de financiación.</w:t>
      </w:r>
    </w:p>
    <w:p>
      <w:pPr>
        <w:pStyle w:val="ListParagraph"/>
        <w:numPr>
          <w:ilvl w:val="0"/>
          <w:numId w:val="3"/>
        </w:numPr>
        <w:spacing w:after="70" w:line="264"/>
        <w:jc w:val="both"/>
      </w:pPr>
      <w:r>
        <w:rPr>
          <w:rFonts w:ascii="Calibri" w:cs="Calibri" w:eastAsia="Calibri" w:hAnsi="Calibri"/>
          <w:b/>
          <w:bCs/>
          <w:i w:val="false"/>
          <w:iCs w:val="false"/>
          <w:sz w:val="21"/>
          <w:szCs w:val="21"/>
        </w:rPr>
        <w:t xml:space="preserve">Condición para que funcione:</w:t>
      </w:r>
      <w:r>
        <w:rPr>
          <w:rFonts w:ascii="Calibri" w:cs="Calibri" w:eastAsia="Calibri" w:hAnsi="Calibri"/>
          <w:b w:val="false"/>
          <w:bCs w:val="false"/>
          <w:i w:val="false"/>
          <w:iCs w:val="false"/>
          <w:sz w:val="21"/>
          <w:szCs w:val="21"/>
        </w:rPr>
        <w:t xml:space="preserve"> las cuotas del aplazamiento se incorporan al presupuesto de tesorería como pago de nivel 2. El incumplimiento de un aplazamiento concedido reabre la deuda completa con recargos, y cierra la puerta a nuevas solicitudes.</w:t>
      </w:r>
    </w:p>
    <w:p>
      <w:pPr>
        <w:pStyle w:val="Heading2"/>
        <w:spacing w:after="120" w:before="260"/>
      </w:pPr>
      <w:r>
        <w:rPr>
          <w:rFonts w:ascii="Calibri" w:cs="Calibri" w:eastAsia="Calibri" w:hAnsi="Calibri"/>
          <w:b/>
          <w:bCs/>
          <w:color w:val="2E74B5"/>
          <w:sz w:val="24"/>
          <w:szCs w:val="24"/>
        </w:rPr>
        <w:t xml:space="preserve">10.6. Recuperar el IVA de las facturas que no nos pagan</w:t>
      </w:r>
    </w:p>
    <w:p>
      <w:pPr>
        <w:spacing w:after="120" w:line="264"/>
        <w:jc w:val="both"/>
      </w:pPr>
      <w:r>
        <w:rPr>
          <w:rFonts w:ascii="Calibri" w:cs="Calibri" w:eastAsia="Calibri" w:hAnsi="Calibri"/>
          <w:b w:val="false"/>
          <w:bCs w:val="false"/>
          <w:i w:val="false"/>
          <w:iCs w:val="false"/>
          <w:sz w:val="21"/>
          <w:szCs w:val="21"/>
        </w:rPr>
        <w:t xml:space="preserve">Cuando un cliente no paga, la empresa ha ingresado a Hacienda un IVA que nunca ha cobrado. El artículo 80.Cuatro de la Ley del IVA permite recuperarlo modificando la base imponible por crédito incobrable. Requisitos esenciales, tras la reforma de la Ley 31/2022:</w:t>
      </w:r>
    </w:p>
    <w:p>
      <w:pPr>
        <w:pStyle w:val="ListParagraph"/>
        <w:numPr>
          <w:ilvl w:val="0"/>
          <w:numId w:val="3"/>
        </w:numPr>
        <w:spacing w:after="70" w:line="264"/>
        <w:jc w:val="both"/>
      </w:pPr>
      <w:r>
        <w:rPr>
          <w:rFonts w:ascii="Calibri" w:cs="Calibri" w:eastAsia="Calibri" w:hAnsi="Calibri"/>
          <w:b w:val="false"/>
          <w:bCs w:val="false"/>
          <w:i w:val="false"/>
          <w:iCs w:val="false"/>
          <w:sz w:val="21"/>
          <w:szCs w:val="21"/>
        </w:rPr>
        <w:t xml:space="preserve">Que haya transcurrido </w:t>
      </w:r>
      <w:r>
        <w:rPr>
          <w:rFonts w:ascii="Calibri" w:cs="Calibri" w:eastAsia="Calibri" w:hAnsi="Calibri"/>
          <w:b/>
          <w:bCs/>
          <w:i w:val="false"/>
          <w:iCs w:val="false"/>
          <w:sz w:val="21"/>
          <w:szCs w:val="21"/>
        </w:rPr>
        <w:t xml:space="preserve">6 meses</w:t>
      </w:r>
      <w:r>
        <w:rPr>
          <w:rFonts w:ascii="Calibri" w:cs="Calibri" w:eastAsia="Calibri" w:hAnsi="Calibri"/>
          <w:b w:val="false"/>
          <w:bCs w:val="false"/>
          <w:i w:val="false"/>
          <w:iCs w:val="false"/>
          <w:sz w:val="21"/>
          <w:szCs w:val="21"/>
        </w:rPr>
        <w:t xml:space="preserve"> desde el devengo (si la empresa no es gran empresa) o </w:t>
      </w:r>
      <w:r>
        <w:rPr>
          <w:rFonts w:ascii="Calibri" w:cs="Calibri" w:eastAsia="Calibri" w:hAnsi="Calibri"/>
          <w:b/>
          <w:bCs/>
          <w:i w:val="false"/>
          <w:iCs w:val="false"/>
          <w:sz w:val="21"/>
          <w:szCs w:val="21"/>
        </w:rPr>
        <w:t xml:space="preserve">1 año</w:t>
      </w:r>
      <w:r>
        <w:rPr>
          <w:rFonts w:ascii="Calibri" w:cs="Calibri" w:eastAsia="Calibri" w:hAnsi="Calibri"/>
          <w:b w:val="false"/>
          <w:bCs w:val="false"/>
          <w:i w:val="false"/>
          <w:iCs w:val="false"/>
          <w:sz w:val="21"/>
          <w:szCs w:val="21"/>
        </w:rPr>
        <w:t xml:space="preserve">.</w:t>
      </w:r>
    </w:p>
    <w:p>
      <w:pPr>
        <w:pStyle w:val="ListParagraph"/>
        <w:numPr>
          <w:ilvl w:val="0"/>
          <w:numId w:val="3"/>
        </w:numPr>
        <w:spacing w:after="70" w:line="264"/>
        <w:jc w:val="both"/>
      </w:pPr>
      <w:r>
        <w:rPr>
          <w:rFonts w:ascii="Calibri" w:cs="Calibri" w:eastAsia="Calibri" w:hAnsi="Calibri"/>
          <w:b w:val="false"/>
          <w:bCs w:val="false"/>
          <w:i w:val="false"/>
          <w:iCs w:val="false"/>
          <w:sz w:val="21"/>
          <w:szCs w:val="21"/>
        </w:rPr>
        <w:t xml:space="preserve">Que la base imponible de la operación, IVA excluido, </w:t>
      </w:r>
      <w:r>
        <w:rPr>
          <w:rFonts w:ascii="Calibri" w:cs="Calibri" w:eastAsia="Calibri" w:hAnsi="Calibri"/>
          <w:b/>
          <w:bCs/>
          <w:i w:val="false"/>
          <w:iCs w:val="false"/>
          <w:sz w:val="21"/>
          <w:szCs w:val="21"/>
        </w:rPr>
        <w:t xml:space="preserve">supere los 50 €</w:t>
      </w:r>
      <w:r>
        <w:rPr>
          <w:rFonts w:ascii="Calibri" w:cs="Calibri" w:eastAsia="Calibri" w:hAnsi="Calibri"/>
          <w:b w:val="false"/>
          <w:bCs w:val="false"/>
          <w:i w:val="false"/>
          <w:iCs w:val="false"/>
          <w:sz w:val="21"/>
          <w:szCs w:val="21"/>
        </w:rPr>
        <w:t xml:space="preserve"> cuando el destinatario no sea empresario o profesional.</w:t>
      </w:r>
    </w:p>
    <w:p>
      <w:pPr>
        <w:pStyle w:val="ListParagraph"/>
        <w:numPr>
          <w:ilvl w:val="0"/>
          <w:numId w:val="3"/>
        </w:numPr>
        <w:spacing w:after="70" w:line="264"/>
        <w:jc w:val="both"/>
      </w:pPr>
      <w:r>
        <w:rPr>
          <w:rFonts w:ascii="Calibri" w:cs="Calibri" w:eastAsia="Calibri" w:hAnsi="Calibri"/>
          <w:b w:val="false"/>
          <w:bCs w:val="false"/>
          <w:i w:val="false"/>
          <w:iCs w:val="false"/>
          <w:sz w:val="21"/>
          <w:szCs w:val="21"/>
        </w:rPr>
        <w:t xml:space="preserve">Que se haya </w:t>
      </w:r>
      <w:r>
        <w:rPr>
          <w:rFonts w:ascii="Calibri" w:cs="Calibri" w:eastAsia="Calibri" w:hAnsi="Calibri"/>
          <w:b/>
          <w:bCs/>
          <w:i w:val="false"/>
          <w:iCs w:val="false"/>
          <w:sz w:val="21"/>
          <w:szCs w:val="21"/>
        </w:rPr>
        <w:t xml:space="preserve">instado el cobro mediante reclamación fehaciente</w:t>
      </w:r>
      <w:r>
        <w:rPr>
          <w:rFonts w:ascii="Calibri" w:cs="Calibri" w:eastAsia="Calibri" w:hAnsi="Calibri"/>
          <w:b w:val="false"/>
          <w:bCs w:val="false"/>
          <w:i w:val="false"/>
          <w:iCs w:val="false"/>
          <w:sz w:val="21"/>
          <w:szCs w:val="21"/>
        </w:rPr>
        <w:t xml:space="preserve">: ya no es imprescindible el requerimiento notarial, sirve cualquier medio que acredite fehacientemente la reclamación.</w:t>
      </w:r>
    </w:p>
    <w:p>
      <w:pPr>
        <w:pStyle w:val="ListParagraph"/>
        <w:numPr>
          <w:ilvl w:val="0"/>
          <w:numId w:val="3"/>
        </w:numPr>
        <w:spacing w:after="70" w:line="264"/>
        <w:jc w:val="both"/>
      </w:pPr>
      <w:r>
        <w:rPr>
          <w:rFonts w:ascii="Calibri" w:cs="Calibri" w:eastAsia="Calibri" w:hAnsi="Calibri"/>
          <w:b w:val="false"/>
          <w:bCs w:val="false"/>
          <w:i w:val="false"/>
          <w:iCs w:val="false"/>
          <w:sz w:val="21"/>
          <w:szCs w:val="21"/>
        </w:rPr>
        <w:t xml:space="preserve">Que la factura rectificativa se emita dentro de los </w:t>
      </w:r>
      <w:r>
        <w:rPr>
          <w:rFonts w:ascii="Calibri" w:cs="Calibri" w:eastAsia="Calibri" w:hAnsi="Calibri"/>
          <w:b/>
          <w:bCs/>
          <w:i w:val="false"/>
          <w:iCs w:val="false"/>
          <w:sz w:val="21"/>
          <w:szCs w:val="21"/>
        </w:rPr>
        <w:t xml:space="preserve">6 meses</w:t>
      </w:r>
      <w:r>
        <w:rPr>
          <w:rFonts w:ascii="Calibri" w:cs="Calibri" w:eastAsia="Calibri" w:hAnsi="Calibri"/>
          <w:b w:val="false"/>
          <w:bCs w:val="false"/>
          <w:i w:val="false"/>
          <w:iCs w:val="false"/>
          <w:sz w:val="21"/>
          <w:szCs w:val="21"/>
        </w:rPr>
        <w:t xml:space="preserve"> siguientes al transcurso de ese plazo, con comunicación a la AEAT.</w:t>
      </w:r>
    </w:p>
    <w:p>
      <w:pPr>
        <w:spacing w:after="120" w:line="264"/>
        <w:jc w:val="both"/>
      </w:pPr>
      <w:r>
        <w:rPr>
          <w:rFonts w:ascii="Calibri" w:cs="Calibri" w:eastAsia="Calibri" w:hAnsi="Calibri"/>
          <w:b w:val="false"/>
          <w:bCs w:val="false"/>
          <w:i w:val="false"/>
          <w:iCs w:val="false"/>
          <w:sz w:val="21"/>
          <w:szCs w:val="21"/>
        </w:rPr>
        <w:t xml:space="preserve">Es una gestión de gestoría, de coste bajo, que en carteras con impagados antiguos puede suponer una recuperación de caja relevante. </w:t>
      </w:r>
      <w:r>
        <w:rPr>
          <w:rFonts w:ascii="Calibri" w:cs="Calibri" w:eastAsia="Calibri" w:hAnsi="Calibri"/>
          <w:b/>
          <w:bCs/>
          <w:i w:val="false"/>
          <w:iCs w:val="false"/>
          <w:sz w:val="21"/>
          <w:szCs w:val="21"/>
        </w:rPr>
        <w:t xml:space="preserve">Tiene plazos de caducidad</w:t>
      </w:r>
      <w:r>
        <w:rPr>
          <w:rFonts w:ascii="Calibri" w:cs="Calibri" w:eastAsia="Calibri" w:hAnsi="Calibri"/>
          <w:b w:val="false"/>
          <w:bCs w:val="false"/>
          <w:i w:val="false"/>
          <w:iCs w:val="false"/>
          <w:sz w:val="21"/>
          <w:szCs w:val="21"/>
        </w:rPr>
        <w:t xml:space="preserve">, así que conviene revisarlo ahora y no dentro de seis meses.</w:t>
      </w:r>
    </w:p>
    <w:p>
      <w:pPr>
        <w:pStyle w:val="Heading2"/>
        <w:spacing w:after="120" w:before="260"/>
      </w:pPr>
      <w:r>
        <w:rPr>
          <w:rFonts w:ascii="Calibri" w:cs="Calibri" w:eastAsia="Calibri" w:hAnsi="Calibri"/>
          <w:b/>
          <w:bCs/>
          <w:color w:val="2E74B5"/>
          <w:sz w:val="24"/>
          <w:szCs w:val="24"/>
        </w:rPr>
        <w:t xml:space="preserve">10.7. Rentabilidad por ruta, cliente y vehículo</w:t>
      </w:r>
    </w:p>
    <w:p>
      <w:pPr>
        <w:spacing w:after="120" w:line="264"/>
        <w:jc w:val="both"/>
      </w:pPr>
      <w:r>
        <w:rPr>
          <w:rFonts w:ascii="Calibri" w:cs="Calibri" w:eastAsia="Calibri" w:hAnsi="Calibri"/>
          <w:b w:val="false"/>
          <w:bCs w:val="false"/>
          <w:i w:val="false"/>
          <w:iCs w:val="false"/>
          <w:sz w:val="21"/>
          <w:szCs w:val="21"/>
        </w:rPr>
        <w:t xml:space="preserve">Esta palanca es más lenta, pero es la única que arregla el problema de raíz. Consiste en calcular el </w:t>
      </w:r>
      <w:r>
        <w:rPr>
          <w:rFonts w:ascii="Calibri" w:cs="Calibri" w:eastAsia="Calibri" w:hAnsi="Calibri"/>
          <w:b/>
          <w:bCs/>
          <w:i w:val="false"/>
          <w:iCs w:val="false"/>
          <w:sz w:val="21"/>
          <w:szCs w:val="21"/>
        </w:rPr>
        <w:t xml:space="preserve">coste real por kilómetro</w:t>
      </w:r>
      <w:r>
        <w:rPr>
          <w:rFonts w:ascii="Calibri" w:cs="Calibri" w:eastAsia="Calibri" w:hAnsi="Calibri"/>
          <w:b w:val="false"/>
          <w:bCs w:val="false"/>
          <w:i w:val="false"/>
          <w:iCs w:val="false"/>
          <w:sz w:val="21"/>
          <w:szCs w:val="21"/>
        </w:rPr>
        <w:t xml:space="preserve"> —combustible, conductor con cargas sociales, amortización o cuota del vehículo, seguros, mantenimiento, neumáticos, peajes y una imputación de estructura— y compararlo con el precio facturado por ruta y por cliente.</w:t>
      </w:r>
    </w:p>
    <w:p>
      <w:pPr>
        <w:pStyle w:val="ListParagraph"/>
        <w:numPr>
          <w:ilvl w:val="0"/>
          <w:numId w:val="3"/>
        </w:numPr>
        <w:spacing w:after="70" w:line="264"/>
        <w:jc w:val="both"/>
      </w:pPr>
      <w:r>
        <w:rPr>
          <w:rFonts w:ascii="Calibri" w:cs="Calibri" w:eastAsia="Calibri" w:hAnsi="Calibri"/>
          <w:b w:val="false"/>
          <w:bCs w:val="false"/>
          <w:i w:val="false"/>
          <w:iCs w:val="false"/>
          <w:sz w:val="21"/>
          <w:szCs w:val="21"/>
        </w:rPr>
        <w:t xml:space="preserve">Identificar rutas con </w:t>
      </w:r>
      <w:r>
        <w:rPr>
          <w:rFonts w:ascii="Calibri" w:cs="Calibri" w:eastAsia="Calibri" w:hAnsi="Calibri"/>
          <w:b/>
          <w:bCs/>
          <w:i w:val="false"/>
          <w:iCs w:val="false"/>
          <w:sz w:val="21"/>
          <w:szCs w:val="21"/>
        </w:rPr>
        <w:t xml:space="preserve">margen negativo</w:t>
      </w:r>
      <w:r>
        <w:rPr>
          <w:rFonts w:ascii="Calibri" w:cs="Calibri" w:eastAsia="Calibri" w:hAnsi="Calibri"/>
          <w:b w:val="false"/>
          <w:bCs w:val="false"/>
          <w:i w:val="false"/>
          <w:iCs w:val="false"/>
          <w:sz w:val="21"/>
          <w:szCs w:val="21"/>
        </w:rPr>
        <w:t xml:space="preserve">: las hay casi siempre, y suelen ser las que más ocupan la flota.</w:t>
      </w:r>
    </w:p>
    <w:p>
      <w:pPr>
        <w:pStyle w:val="ListParagraph"/>
        <w:numPr>
          <w:ilvl w:val="0"/>
          <w:numId w:val="3"/>
        </w:numPr>
        <w:spacing w:after="70" w:line="264"/>
        <w:jc w:val="both"/>
      </w:pPr>
      <w:r>
        <w:rPr>
          <w:rFonts w:ascii="Calibri" w:cs="Calibri" w:eastAsia="Calibri" w:hAnsi="Calibri"/>
          <w:b w:val="false"/>
          <w:bCs w:val="false"/>
          <w:i w:val="false"/>
          <w:iCs w:val="false"/>
          <w:sz w:val="21"/>
          <w:szCs w:val="21"/>
        </w:rPr>
        <w:t xml:space="preserve">Medir los </w:t>
      </w:r>
      <w:r>
        <w:rPr>
          <w:rFonts w:ascii="Calibri" w:cs="Calibri" w:eastAsia="Calibri" w:hAnsi="Calibri"/>
          <w:b/>
          <w:bCs/>
          <w:i w:val="false"/>
          <w:iCs w:val="false"/>
          <w:sz w:val="21"/>
          <w:szCs w:val="21"/>
        </w:rPr>
        <w:t xml:space="preserve">retornos en vacío</w:t>
      </w:r>
      <w:r>
        <w:rPr>
          <w:rFonts w:ascii="Calibri" w:cs="Calibri" w:eastAsia="Calibri" w:hAnsi="Calibri"/>
          <w:b w:val="false"/>
          <w:bCs w:val="false"/>
          <w:i w:val="false"/>
          <w:iCs w:val="false"/>
          <w:sz w:val="21"/>
          <w:szCs w:val="21"/>
        </w:rPr>
        <w:t xml:space="preserve">: cada kilómetro en vacío es coste puro.</w:t>
      </w:r>
    </w:p>
    <w:p>
      <w:pPr>
        <w:pStyle w:val="ListParagraph"/>
        <w:numPr>
          <w:ilvl w:val="0"/>
          <w:numId w:val="3"/>
        </w:numPr>
        <w:spacing w:after="70" w:line="264"/>
        <w:jc w:val="both"/>
      </w:pPr>
      <w:r>
        <w:rPr>
          <w:rFonts w:ascii="Calibri" w:cs="Calibri" w:eastAsia="Calibri" w:hAnsi="Calibri"/>
          <w:b w:val="false"/>
          <w:bCs w:val="false"/>
          <w:i w:val="false"/>
          <w:iCs w:val="false"/>
          <w:sz w:val="21"/>
          <w:szCs w:val="21"/>
        </w:rPr>
        <w:t xml:space="preserve">Revisar los clientes que combinan </w:t>
      </w:r>
      <w:r>
        <w:rPr>
          <w:rFonts w:ascii="Calibri" w:cs="Calibri" w:eastAsia="Calibri" w:hAnsi="Calibri"/>
          <w:b/>
          <w:bCs/>
          <w:i w:val="false"/>
          <w:iCs w:val="false"/>
          <w:sz w:val="21"/>
          <w:szCs w:val="21"/>
        </w:rPr>
        <w:t xml:space="preserve">precio bajo y pago tardío</w:t>
      </w:r>
      <w:r>
        <w:rPr>
          <w:rFonts w:ascii="Calibri" w:cs="Calibri" w:eastAsia="Calibri" w:hAnsi="Calibri"/>
          <w:b w:val="false"/>
          <w:bCs w:val="false"/>
          <w:i w:val="false"/>
          <w:iCs w:val="false"/>
          <w:sz w:val="21"/>
          <w:szCs w:val="21"/>
        </w:rPr>
        <w:t xml:space="preserve">. Un cliente con un 2 % de margen que paga a 90 días no aporta beneficio: aporta necesidad de financiación. Es, literalmente, una fuente de deuda.</w:t>
      </w:r>
    </w:p>
    <w:p>
      <w:pPr>
        <w:pStyle w:val="ListParagraph"/>
        <w:numPr>
          <w:ilvl w:val="0"/>
          <w:numId w:val="3"/>
        </w:numPr>
        <w:spacing w:after="70" w:line="264"/>
        <w:jc w:val="both"/>
      </w:pPr>
      <w:r>
        <w:rPr>
          <w:rFonts w:ascii="Calibri" w:cs="Calibri" w:eastAsia="Calibri" w:hAnsi="Calibri"/>
          <w:b w:val="false"/>
          <w:bCs w:val="false"/>
          <w:i w:val="false"/>
          <w:iCs w:val="false"/>
          <w:sz w:val="21"/>
          <w:szCs w:val="21"/>
        </w:rPr>
        <w:t xml:space="preserve">Con esos datos, hay tres decisiones posibles por cada ruta o cliente: subir tarifa, renegociar condiciones de pago, o dejar de prestar el servicio.</w:t>
      </w:r>
    </w:p>
    <w:p>
      <w:pPr>
        <w:pStyle w:val="Heading2"/>
        <w:spacing w:after="120" w:before="260"/>
      </w:pPr>
      <w:r>
        <w:rPr>
          <w:rFonts w:ascii="Calibri" w:cs="Calibri" w:eastAsia="Calibri" w:hAnsi="Calibri"/>
          <w:b/>
          <w:bCs/>
          <w:color w:val="2E74B5"/>
          <w:sz w:val="24"/>
          <w:szCs w:val="24"/>
        </w:rPr>
        <w:t xml:space="preserve">10.8. Gasto y activos</w:t>
      </w:r>
    </w:p>
    <w:p>
      <w:pPr>
        <w:pStyle w:val="ListParagraph"/>
        <w:numPr>
          <w:ilvl w:val="0"/>
          <w:numId w:val="3"/>
        </w:numPr>
        <w:spacing w:after="70" w:line="264"/>
        <w:jc w:val="both"/>
      </w:pPr>
      <w:r>
        <w:rPr>
          <w:rFonts w:ascii="Calibri" w:cs="Calibri" w:eastAsia="Calibri" w:hAnsi="Calibri"/>
          <w:b/>
          <w:bCs/>
          <w:i w:val="false"/>
          <w:iCs w:val="false"/>
          <w:sz w:val="21"/>
          <w:szCs w:val="21"/>
        </w:rPr>
        <w:t xml:space="preserve">Vehículos parados o infrautilizados</w:t>
      </w:r>
      <w:r>
        <w:rPr>
          <w:rFonts w:ascii="Calibri" w:cs="Calibri" w:eastAsia="Calibri" w:hAnsi="Calibri"/>
          <w:b w:val="false"/>
          <w:bCs w:val="false"/>
          <w:i w:val="false"/>
          <w:iCs w:val="false"/>
          <w:sz w:val="21"/>
          <w:szCs w:val="21"/>
        </w:rPr>
        <w:t xml:space="preserve">: cada uno sigue devengando seguro, cuota e impuestos. Valorar venta o cancelación anticipada.</w:t>
      </w:r>
    </w:p>
    <w:p>
      <w:pPr>
        <w:pStyle w:val="ListParagraph"/>
        <w:numPr>
          <w:ilvl w:val="0"/>
          <w:numId w:val="3"/>
        </w:numPr>
        <w:spacing w:after="70" w:line="264"/>
        <w:jc w:val="both"/>
      </w:pPr>
      <w:r>
        <w:rPr>
          <w:rFonts w:ascii="Calibri" w:cs="Calibri" w:eastAsia="Calibri" w:hAnsi="Calibri"/>
          <w:b/>
          <w:bCs/>
          <w:i w:val="false"/>
          <w:iCs w:val="false"/>
          <w:sz w:val="21"/>
          <w:szCs w:val="21"/>
        </w:rPr>
        <w:t xml:space="preserve">Renegociar leasing y renting</w:t>
      </w:r>
      <w:r>
        <w:rPr>
          <w:rFonts w:ascii="Calibri" w:cs="Calibri" w:eastAsia="Calibri" w:hAnsi="Calibri"/>
          <w:b w:val="false"/>
          <w:bCs w:val="false"/>
          <w:i w:val="false"/>
          <w:iCs w:val="false"/>
          <w:sz w:val="21"/>
          <w:szCs w:val="21"/>
        </w:rPr>
        <w:t xml:space="preserve">: solicitar </w:t>
      </w:r>
      <w:r>
        <w:rPr>
          <w:rFonts w:ascii="Calibri" w:cs="Calibri" w:eastAsia="Calibri" w:hAnsi="Calibri"/>
          <w:b/>
          <w:bCs/>
          <w:i w:val="false"/>
          <w:iCs w:val="false"/>
          <w:sz w:val="21"/>
          <w:szCs w:val="21"/>
        </w:rPr>
        <w:t xml:space="preserve">carencia de capital</w:t>
      </w:r>
      <w:r>
        <w:rPr>
          <w:rFonts w:ascii="Calibri" w:cs="Calibri" w:eastAsia="Calibri" w:hAnsi="Calibri"/>
          <w:b w:val="false"/>
          <w:bCs w:val="false"/>
          <w:i w:val="false"/>
          <w:iCs w:val="false"/>
          <w:sz w:val="21"/>
          <w:szCs w:val="21"/>
        </w:rPr>
        <w:t xml:space="preserve"> durante 6–12 meses (se pagan solo intereses). Es una de las negociaciones con mejor relación esfuerzo/resultado, y las entidades suelen aceptarla si se plantea antes de entrar en impago.</w:t>
      </w:r>
    </w:p>
    <w:p>
      <w:pPr>
        <w:pStyle w:val="ListParagraph"/>
        <w:numPr>
          <w:ilvl w:val="0"/>
          <w:numId w:val="3"/>
        </w:numPr>
        <w:spacing w:after="70" w:line="264"/>
        <w:jc w:val="both"/>
      </w:pPr>
      <w:r>
        <w:rPr>
          <w:rFonts w:ascii="Calibri" w:cs="Calibri" w:eastAsia="Calibri" w:hAnsi="Calibri"/>
          <w:b/>
          <w:bCs/>
          <w:i w:val="false"/>
          <w:iCs w:val="false"/>
          <w:sz w:val="21"/>
          <w:szCs w:val="21"/>
        </w:rPr>
        <w:t xml:space="preserve">Revisar la cartera de seguros</w:t>
      </w:r>
      <w:r>
        <w:rPr>
          <w:rFonts w:ascii="Calibri" w:cs="Calibri" w:eastAsia="Calibri" w:hAnsi="Calibri"/>
          <w:b w:val="false"/>
          <w:bCs w:val="false"/>
          <w:i w:val="false"/>
          <w:iCs w:val="false"/>
          <w:sz w:val="21"/>
          <w:szCs w:val="21"/>
        </w:rPr>
        <w:t xml:space="preserve">: comparar primas, franquicias y coberturas duplicadas. Nunca reducir coberturas obligatorias.</w:t>
      </w:r>
    </w:p>
    <w:p>
      <w:pPr>
        <w:pStyle w:val="ListParagraph"/>
        <w:numPr>
          <w:ilvl w:val="0"/>
          <w:numId w:val="3"/>
        </w:numPr>
        <w:spacing w:after="70" w:line="264"/>
        <w:jc w:val="both"/>
      </w:pPr>
      <w:r>
        <w:rPr>
          <w:rFonts w:ascii="Calibri" w:cs="Calibri" w:eastAsia="Calibri" w:hAnsi="Calibri"/>
          <w:b/>
          <w:bCs/>
          <w:i w:val="false"/>
          <w:iCs w:val="false"/>
          <w:sz w:val="21"/>
          <w:szCs w:val="21"/>
        </w:rPr>
        <w:t xml:space="preserve">Congelar toda inversión y gasto discrecional</w:t>
      </w:r>
      <w:r>
        <w:rPr>
          <w:rFonts w:ascii="Calibri" w:cs="Calibri" w:eastAsia="Calibri" w:hAnsi="Calibri"/>
          <w:b w:val="false"/>
          <w:bCs w:val="false"/>
          <w:i w:val="false"/>
          <w:iCs w:val="false"/>
          <w:sz w:val="21"/>
          <w:szCs w:val="21"/>
        </w:rPr>
        <w:t xml:space="preserve"> hasta que la proyección a 13 semanas se mantenga por encima del colchón de seguridad durante cuatro semanas consecutivas.</w:t>
      </w:r>
    </w:p>
    <w:p>
      <w:pPr>
        <w:pStyle w:val="Heading1"/>
        <w:pageBreakBefore/>
        <w:pBdr>
          <w:bottom w:val="single" w:color="2E74B5" w:sz="8" w:space="6"/>
        </w:pBdr>
        <w:spacing w:after="180" w:before="240"/>
      </w:pPr>
      <w:r>
        <w:rPr>
          <w:rFonts w:ascii="Calibri" w:cs="Calibri" w:eastAsia="Calibri" w:hAnsi="Calibri"/>
          <w:b/>
          <w:bCs/>
          <w:color w:val="1F3864"/>
          <w:sz w:val="30"/>
          <w:szCs w:val="30"/>
        </w:rPr>
        <w:t xml:space="preserve">11. Cuadro de mando y comité de pagos semanal</w:t>
      </w:r>
    </w:p>
    <w:p>
      <w:pPr>
        <w:pStyle w:val="Heading2"/>
        <w:spacing w:after="120" w:before="260"/>
      </w:pPr>
      <w:r>
        <w:rPr>
          <w:rFonts w:ascii="Calibri" w:cs="Calibri" w:eastAsia="Calibri" w:hAnsi="Calibri"/>
          <w:b/>
          <w:bCs/>
          <w:color w:val="2E74B5"/>
          <w:sz w:val="24"/>
          <w:szCs w:val="24"/>
        </w:rPr>
        <w:t xml:space="preserve">11.1. El lunes de 30 minutos</w:t>
      </w:r>
    </w:p>
    <w:p>
      <w:pPr>
        <w:spacing w:after="120" w:line="264"/>
        <w:jc w:val="both"/>
      </w:pPr>
      <w:r>
        <w:rPr>
          <w:rFonts w:ascii="Calibri" w:cs="Calibri" w:eastAsia="Calibri" w:hAnsi="Calibri"/>
          <w:b w:val="false"/>
          <w:bCs w:val="false"/>
          <w:i w:val="false"/>
          <w:iCs w:val="false"/>
          <w:sz w:val="21"/>
          <w:szCs w:val="21"/>
        </w:rPr>
        <w:t xml:space="preserve">Un único punto de control semanal, con agenda fija. Participan Dirección y Administración. Es corto porque el trabajo ya está hecho: en la reunión solo se decide.</w:t>
      </w:r>
    </w:p>
    <w:tbl>
      <w:tblPr>
        <w:tblW w:type="dxa" w:w="9600"/>
        <w:tblBorders>
          <w:top w:val="single" w:color="BFBFBF" w:sz="4"/>
          <w:left w:val="single" w:color="BFBFBF" w:sz="4"/>
          <w:bottom w:val="single" w:color="BFBFBF" w:sz="4"/>
          <w:right w:val="single" w:color="BFBFBF" w:sz="4"/>
          <w:insideH w:val="single" w:color="D9D9D9" w:sz="2"/>
          <w:insideV w:val="single" w:color="D9D9D9" w:sz="2"/>
        </w:tblBorders>
      </w:tblPr>
      <w:tblGrid>
        <w:gridCol w:w="1200"/>
        <w:gridCol w:w="8400"/>
      </w:tblGrid>
      <w:tr>
        <w:trPr>
          <w:tblHeader/>
        </w:trPr>
        <w:tc>
          <w:tcPr>
            <w:tcW w:type="dxa" w:w="1200"/>
            <w:shd w:fill="1F3864"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color w:val="FFFFFF"/>
                <w:sz w:val="19"/>
                <w:szCs w:val="19"/>
              </w:rPr>
              <w:t xml:space="preserve">Minuto</w:t>
            </w:r>
          </w:p>
        </w:tc>
        <w:tc>
          <w:tcPr>
            <w:tcW w:type="dxa" w:w="8400"/>
            <w:shd w:fill="1F3864"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color w:val="FFFFFF"/>
                <w:sz w:val="19"/>
                <w:szCs w:val="19"/>
              </w:rPr>
              <w:t xml:space="preserve">Punto del orden del día</w:t>
            </w:r>
          </w:p>
        </w:tc>
      </w:tr>
      <w:tr>
        <w:tc>
          <w:tcPr>
            <w:tcW w:type="dxa" w:w="1200"/>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sz w:val="19"/>
                <w:szCs w:val="19"/>
              </w:rPr>
              <w:t xml:space="preserve">0–5</w:t>
            </w:r>
          </w:p>
        </w:tc>
        <w:tc>
          <w:tcPr>
            <w:tcW w:type="dxa" w:w="8400"/>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Caja real de hoy y desviación respecto a lo previsto la semana pasada.</w:t>
            </w:r>
          </w:p>
        </w:tc>
      </w:tr>
      <w:tr>
        <w:tc>
          <w:tcPr>
            <w:tcW w:type="dxa" w:w="12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sz w:val="19"/>
                <w:szCs w:val="19"/>
              </w:rPr>
              <w:t xml:space="preserve">5–10</w:t>
            </w:r>
          </w:p>
        </w:tc>
        <w:tc>
          <w:tcPr>
            <w:tcW w:type="dxa" w:w="84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Proyección a 13 semanas actualizada. ¿Se ha movido la "semana de rotura"?</w:t>
            </w:r>
          </w:p>
        </w:tc>
      </w:tr>
      <w:tr>
        <w:tc>
          <w:tcPr>
            <w:tcW w:type="dxa" w:w="1200"/>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sz w:val="19"/>
                <w:szCs w:val="19"/>
              </w:rPr>
              <w:t xml:space="preserve">10–20</w:t>
            </w:r>
          </w:p>
        </w:tc>
        <w:tc>
          <w:tcPr>
            <w:tcW w:type="dxa" w:w="8400"/>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Propuesta de pagos de la semana, ordenada por nivel de prelación. </w:t>
            </w:r>
            <w:r>
              <w:rPr>
                <w:rFonts w:ascii="Calibri" w:cs="Calibri" w:eastAsia="Calibri" w:hAnsi="Calibri"/>
                <w:b/>
                <w:bCs/>
                <w:i w:val="false"/>
                <w:iCs w:val="false"/>
                <w:sz w:val="19"/>
                <w:szCs w:val="19"/>
              </w:rPr>
              <w:t xml:space="preserve">Dirección aprueba o modifica.</w:t>
            </w:r>
          </w:p>
        </w:tc>
      </w:tr>
      <w:tr>
        <w:tc>
          <w:tcPr>
            <w:tcW w:type="dxa" w:w="12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sz w:val="19"/>
                <w:szCs w:val="19"/>
              </w:rPr>
              <w:t xml:space="preserve">20–25</w:t>
            </w:r>
          </w:p>
        </w:tc>
        <w:tc>
          <w:tcPr>
            <w:tcW w:type="dxa" w:w="84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Cobros: vencidos, gestiones realizadas y clientes a escalar.</w:t>
            </w:r>
          </w:p>
        </w:tc>
      </w:tr>
      <w:tr>
        <w:tc>
          <w:tcPr>
            <w:tcW w:type="dxa" w:w="1200"/>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sz w:val="19"/>
                <w:szCs w:val="19"/>
              </w:rPr>
              <w:t xml:space="preserve">25–30</w:t>
            </w:r>
          </w:p>
        </w:tc>
        <w:tc>
          <w:tcPr>
            <w:tcW w:type="dxa" w:w="8400"/>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Incidencias: acuerdos en riesgo de incumplimiento, reclamaciones nuevas, casos a escalar.</w:t>
            </w:r>
          </w:p>
        </w:tc>
      </w:tr>
    </w:tbl>
    <w:p>
      <w:pPr>
        <w:pStyle w:val="Heading2"/>
        <w:spacing w:after="120" w:before="260"/>
      </w:pPr>
      <w:r>
        <w:rPr>
          <w:rFonts w:ascii="Calibri" w:cs="Calibri" w:eastAsia="Calibri" w:hAnsi="Calibri"/>
          <w:b/>
          <w:bCs/>
          <w:color w:val="2E74B5"/>
          <w:sz w:val="24"/>
          <w:szCs w:val="24"/>
        </w:rPr>
        <w:t xml:space="preserve">11.2. Indicadores de seguimiento</w:t>
      </w:r>
    </w:p>
    <w:tbl>
      <w:tblPr>
        <w:tblW w:type="dxa" w:w="9600"/>
        <w:tblBorders>
          <w:top w:val="single" w:color="BFBFBF" w:sz="4"/>
          <w:left w:val="single" w:color="BFBFBF" w:sz="4"/>
          <w:bottom w:val="single" w:color="BFBFBF" w:sz="4"/>
          <w:right w:val="single" w:color="BFBFBF" w:sz="4"/>
          <w:insideH w:val="single" w:color="D9D9D9" w:sz="2"/>
          <w:insideV w:val="single" w:color="D9D9D9" w:sz="2"/>
        </w:tblBorders>
      </w:tblPr>
      <w:tblGrid>
        <w:gridCol w:w="3000"/>
        <w:gridCol w:w="4200"/>
        <w:gridCol w:w="2400"/>
      </w:tblGrid>
      <w:tr>
        <w:trPr>
          <w:tblHeader/>
        </w:trPr>
        <w:tc>
          <w:tcPr>
            <w:tcW w:type="dxa" w:w="3000"/>
            <w:shd w:fill="1F3864"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color w:val="FFFFFF"/>
                <w:sz w:val="19"/>
                <w:szCs w:val="19"/>
              </w:rPr>
              <w:t xml:space="preserve">Indicador</w:t>
            </w:r>
          </w:p>
        </w:tc>
        <w:tc>
          <w:tcPr>
            <w:tcW w:type="dxa" w:w="4200"/>
            <w:shd w:fill="1F3864"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color w:val="FFFFFF"/>
                <w:sz w:val="19"/>
                <w:szCs w:val="19"/>
              </w:rPr>
              <w:t xml:space="preserve">Definición</w:t>
            </w:r>
          </w:p>
        </w:tc>
        <w:tc>
          <w:tcPr>
            <w:tcW w:type="dxa" w:w="2400"/>
            <w:shd w:fill="1F3864"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color w:val="FFFFFF"/>
                <w:sz w:val="19"/>
                <w:szCs w:val="19"/>
              </w:rPr>
              <w:t xml:space="preserve">Objetivo</w:t>
            </w:r>
          </w:p>
        </w:tc>
      </w:tr>
      <w:tr>
        <w:tc>
          <w:tcPr>
            <w:tcW w:type="dxa" w:w="3000"/>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sz w:val="19"/>
                <w:szCs w:val="19"/>
              </w:rPr>
              <w:t xml:space="preserve">Días de caja</w:t>
            </w:r>
          </w:p>
        </w:tc>
        <w:tc>
          <w:tcPr>
            <w:tcW w:type="dxa" w:w="4200"/>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Caja disponible ÷ pagos medios diarios.</w:t>
            </w:r>
          </w:p>
        </w:tc>
        <w:tc>
          <w:tcPr>
            <w:tcW w:type="dxa" w:w="2400"/>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Nunca por debajo de 7 días.</w:t>
            </w:r>
          </w:p>
        </w:tc>
      </w:tr>
      <w:tr>
        <w:tc>
          <w:tcPr>
            <w:tcW w:type="dxa" w:w="30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sz w:val="19"/>
                <w:szCs w:val="19"/>
              </w:rPr>
              <w:t xml:space="preserve">Semana de rotura</w:t>
            </w:r>
          </w:p>
        </w:tc>
        <w:tc>
          <w:tcPr>
            <w:tcW w:type="dxa" w:w="42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Primera semana con saldo proyectado por debajo del colchón.</w:t>
            </w:r>
          </w:p>
        </w:tc>
        <w:tc>
          <w:tcPr>
            <w:tcW w:type="dxa" w:w="24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Alejarla cada semana.</w:t>
            </w:r>
          </w:p>
        </w:tc>
      </w:tr>
      <w:tr>
        <w:tc>
          <w:tcPr>
            <w:tcW w:type="dxa" w:w="3000"/>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sz w:val="19"/>
                <w:szCs w:val="19"/>
              </w:rPr>
              <w:t xml:space="preserve">Deuda vencida total</w:t>
            </w:r>
          </w:p>
        </w:tc>
        <w:tc>
          <w:tcPr>
            <w:tcW w:type="dxa" w:w="4200"/>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Suma del pendiente vencido, desglosado por semáforo.</w:t>
            </w:r>
          </w:p>
        </w:tc>
        <w:tc>
          <w:tcPr>
            <w:tcW w:type="dxa" w:w="2400"/>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Reducción sostenida mes a mes.</w:t>
            </w:r>
          </w:p>
        </w:tc>
      </w:tr>
      <w:tr>
        <w:tc>
          <w:tcPr>
            <w:tcW w:type="dxa" w:w="30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sz w:val="19"/>
                <w:szCs w:val="19"/>
              </w:rPr>
              <w:t xml:space="preserve">Deuda vencida en nivel ROJO</w:t>
            </w:r>
          </w:p>
        </w:tc>
        <w:tc>
          <w:tcPr>
            <w:tcW w:type="dxa" w:w="42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Pendiente vencido con proveedores críticos.</w:t>
            </w:r>
          </w:p>
        </w:tc>
        <w:tc>
          <w:tcPr>
            <w:tcW w:type="dxa" w:w="24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sz w:val="19"/>
                <w:szCs w:val="19"/>
              </w:rPr>
              <w:t xml:space="preserve">Cero.</w:t>
            </w:r>
          </w:p>
        </w:tc>
      </w:tr>
      <w:tr>
        <w:tc>
          <w:tcPr>
            <w:tcW w:type="dxa" w:w="3000"/>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sz w:val="19"/>
                <w:szCs w:val="19"/>
              </w:rPr>
              <w:t xml:space="preserve">Periodo medio de cobro (PMC)</w:t>
            </w:r>
          </w:p>
        </w:tc>
        <w:tc>
          <w:tcPr>
            <w:tcW w:type="dxa" w:w="4200"/>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Días reales que tardan en pagarnos los clientes.</w:t>
            </w:r>
          </w:p>
        </w:tc>
        <w:tc>
          <w:tcPr>
            <w:tcW w:type="dxa" w:w="2400"/>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Tendencia a 30–60 días.</w:t>
            </w:r>
          </w:p>
        </w:tc>
      </w:tr>
      <w:tr>
        <w:tc>
          <w:tcPr>
            <w:tcW w:type="dxa" w:w="30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sz w:val="19"/>
                <w:szCs w:val="19"/>
              </w:rPr>
              <w:t xml:space="preserve">Periodo medio de pago (PMP)</w:t>
            </w:r>
          </w:p>
        </w:tc>
        <w:tc>
          <w:tcPr>
            <w:tcW w:type="dxa" w:w="42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Días reales que tardamos en pagar.</w:t>
            </w:r>
          </w:p>
        </w:tc>
        <w:tc>
          <w:tcPr>
            <w:tcW w:type="dxa" w:w="24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Estabilizar, no seguir alargando.</w:t>
            </w:r>
          </w:p>
        </w:tc>
      </w:tr>
      <w:tr>
        <w:tc>
          <w:tcPr>
            <w:tcW w:type="dxa" w:w="3000"/>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sz w:val="19"/>
                <w:szCs w:val="19"/>
              </w:rPr>
              <w:t xml:space="preserve">Cumplimiento de acuerdos</w:t>
            </w:r>
          </w:p>
        </w:tc>
        <w:tc>
          <w:tcPr>
            <w:tcW w:type="dxa" w:w="4200"/>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 de cuotas comprometidas pagadas en fecha.</w:t>
            </w:r>
          </w:p>
        </w:tc>
        <w:tc>
          <w:tcPr>
            <w:tcW w:type="dxa" w:w="2400"/>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100 %. Es el indicador de credibilidad.</w:t>
            </w:r>
          </w:p>
        </w:tc>
      </w:tr>
      <w:tr>
        <w:tc>
          <w:tcPr>
            <w:tcW w:type="dxa" w:w="30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sz w:val="19"/>
                <w:szCs w:val="19"/>
              </w:rPr>
              <w:t xml:space="preserve">Reclamaciones recibidas por Dirección</w:t>
            </w:r>
          </w:p>
        </w:tc>
        <w:tc>
          <w:tcPr>
            <w:tcW w:type="dxa" w:w="42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Nº de llamadas o contactos de proveedores que llegan a Jennifer.</w:t>
            </w:r>
          </w:p>
        </w:tc>
        <w:tc>
          <w:tcPr>
            <w:tcW w:type="dxa" w:w="24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sz w:val="19"/>
                <w:szCs w:val="19"/>
              </w:rPr>
              <w:t xml:space="preserve">Tendencia a cero. Este es el indicador del éxito del plan.</w:t>
            </w:r>
          </w:p>
        </w:tc>
      </w:tr>
    </w:tbl>
    <w:p>
      <w:pPr>
        <w:pStyle w:val="Heading1"/>
        <w:pageBreakBefore/>
        <w:pBdr>
          <w:bottom w:val="single" w:color="2E74B5" w:sz="8" w:space="6"/>
        </w:pBdr>
        <w:spacing w:after="180" w:before="240"/>
      </w:pPr>
      <w:r>
        <w:rPr>
          <w:rFonts w:ascii="Calibri" w:cs="Calibri" w:eastAsia="Calibri" w:hAnsi="Calibri"/>
          <w:b/>
          <w:bCs/>
          <w:color w:val="1F3864"/>
          <w:sz w:val="30"/>
          <w:szCs w:val="30"/>
        </w:rPr>
        <w:t xml:space="preserve">12. Señales de alarma y marco legal</w:t>
      </w:r>
    </w:p>
    <w:p>
      <w:pPr>
        <w:spacing w:after="120" w:line="264"/>
        <w:jc w:val="both"/>
      </w:pPr>
      <w:r>
        <w:rPr>
          <w:rFonts w:ascii="Calibri" w:cs="Calibri" w:eastAsia="Calibri" w:hAnsi="Calibri"/>
          <w:b w:val="false"/>
          <w:bCs w:val="false"/>
          <w:i w:val="false"/>
          <w:iCs w:val="false"/>
          <w:sz w:val="21"/>
          <w:szCs w:val="21"/>
        </w:rPr>
        <w:t xml:space="preserve">Este apartado no pretende alarmar, sino lo contrario: describir con precisión dónde están las líneas, porque conocerlas permite actuar a tiempo. La mayoría de los problemas graves en pymes no vienen de la deuda en sí, sino de haber esperado demasiado a reconocerla.</w:t>
      </w:r>
    </w:p>
    <w:p>
      <w:pPr>
        <w:pStyle w:val="Heading2"/>
        <w:spacing w:after="120" w:before="260"/>
      </w:pPr>
      <w:r>
        <w:rPr>
          <w:rFonts w:ascii="Calibri" w:cs="Calibri" w:eastAsia="Calibri" w:hAnsi="Calibri"/>
          <w:b/>
          <w:bCs/>
          <w:color w:val="2E74B5"/>
          <w:sz w:val="24"/>
          <w:szCs w:val="24"/>
        </w:rPr>
        <w:t xml:space="preserve">12.1. Liquidez no es insolvencia</w:t>
      </w:r>
    </w:p>
    <w:p>
      <w:pPr>
        <w:pStyle w:val="ListParagraph"/>
        <w:numPr>
          <w:ilvl w:val="0"/>
          <w:numId w:val="3"/>
        </w:numPr>
        <w:spacing w:after="70" w:line="264"/>
        <w:jc w:val="both"/>
      </w:pPr>
      <w:r>
        <w:rPr>
          <w:rFonts w:ascii="Calibri" w:cs="Calibri" w:eastAsia="Calibri" w:hAnsi="Calibri"/>
          <w:b/>
          <w:bCs/>
          <w:i w:val="false"/>
          <w:iCs w:val="false"/>
          <w:sz w:val="21"/>
          <w:szCs w:val="21"/>
        </w:rPr>
        <w:t xml:space="preserve">Tensión de liquidez:</w:t>
      </w:r>
      <w:r>
        <w:rPr>
          <w:rFonts w:ascii="Calibri" w:cs="Calibri" w:eastAsia="Calibri" w:hAnsi="Calibri"/>
          <w:b w:val="false"/>
          <w:bCs w:val="false"/>
          <w:i w:val="false"/>
          <w:iCs w:val="false"/>
          <w:sz w:val="21"/>
          <w:szCs w:val="21"/>
        </w:rPr>
        <w:t xml:space="preserve"> la empresa es viable y genera margen, pero los cobros y los pagos no están sincronizados. Se resuelve con el plan de este documento.</w:t>
      </w:r>
    </w:p>
    <w:p>
      <w:pPr>
        <w:pStyle w:val="ListParagraph"/>
        <w:numPr>
          <w:ilvl w:val="0"/>
          <w:numId w:val="3"/>
        </w:numPr>
        <w:spacing w:after="70" w:line="264"/>
        <w:jc w:val="both"/>
      </w:pPr>
      <w:r>
        <w:rPr>
          <w:rFonts w:ascii="Calibri" w:cs="Calibri" w:eastAsia="Calibri" w:hAnsi="Calibri"/>
          <w:b/>
          <w:bCs/>
          <w:i w:val="false"/>
          <w:iCs w:val="false"/>
          <w:sz w:val="21"/>
          <w:szCs w:val="21"/>
        </w:rPr>
        <w:t xml:space="preserve">Insolvencia:</w:t>
      </w:r>
      <w:r>
        <w:rPr>
          <w:rFonts w:ascii="Calibri" w:cs="Calibri" w:eastAsia="Calibri" w:hAnsi="Calibri"/>
          <w:b w:val="false"/>
          <w:bCs w:val="false"/>
          <w:i w:val="false"/>
          <w:iCs w:val="false"/>
          <w:sz w:val="21"/>
          <w:szCs w:val="21"/>
        </w:rPr>
        <w:t xml:space="preserve"> la empresa no puede cumplir regularmente sus obligaciones exigibles. Tiene consecuencias legales concretas y plazos que corren.</w:t>
      </w:r>
    </w:p>
    <w:p>
      <w:pPr>
        <w:pStyle w:val="Heading2"/>
        <w:spacing w:after="120" w:before="260"/>
      </w:pPr>
      <w:r>
        <w:rPr>
          <w:rFonts w:ascii="Calibri" w:cs="Calibri" w:eastAsia="Calibri" w:hAnsi="Calibri"/>
          <w:b/>
          <w:bCs/>
          <w:color w:val="2E74B5"/>
          <w:sz w:val="24"/>
          <w:szCs w:val="24"/>
        </w:rPr>
        <w:t xml:space="preserve">12.2. Obligaciones societarias que conviene tener presentes</w:t>
      </w:r>
    </w:p>
    <w:p>
      <w:pPr>
        <w:spacing w:after="120" w:line="264"/>
        <w:jc w:val="both"/>
      </w:pPr>
      <w:r>
        <w:rPr>
          <w:rFonts w:ascii="Calibri" w:cs="Calibri" w:eastAsia="Calibri" w:hAnsi="Calibri"/>
          <w:b w:val="false"/>
          <w:bCs w:val="false"/>
          <w:i w:val="false"/>
          <w:iCs w:val="false"/>
          <w:sz w:val="21"/>
          <w:szCs w:val="21"/>
        </w:rPr>
        <w:t xml:space="preserve">Si las pérdidas dejan el </w:t>
      </w:r>
      <w:r>
        <w:rPr>
          <w:rFonts w:ascii="Calibri" w:cs="Calibri" w:eastAsia="Calibri" w:hAnsi="Calibri"/>
          <w:b/>
          <w:bCs/>
          <w:i w:val="false"/>
          <w:iCs w:val="false"/>
          <w:sz w:val="21"/>
          <w:szCs w:val="21"/>
        </w:rPr>
        <w:t xml:space="preserve">patrimonio neto por debajo de la mitad del capital social</w:t>
      </w:r>
      <w:r>
        <w:rPr>
          <w:rFonts w:ascii="Calibri" w:cs="Calibri" w:eastAsia="Calibri" w:hAnsi="Calibri"/>
          <w:b w:val="false"/>
          <w:bCs w:val="false"/>
          <w:i w:val="false"/>
          <w:iCs w:val="false"/>
          <w:sz w:val="21"/>
          <w:szCs w:val="21"/>
        </w:rPr>
        <w:t xml:space="preserve">, la sociedad incurre en causa de disolución conforme al artículo 363.1.e) de la Ley de Sociedades de Capital. El administrador dispone de </w:t>
      </w:r>
      <w:r>
        <w:rPr>
          <w:rFonts w:ascii="Calibri" w:cs="Calibri" w:eastAsia="Calibri" w:hAnsi="Calibri"/>
          <w:b/>
          <w:bCs/>
          <w:i w:val="false"/>
          <w:iCs w:val="false"/>
          <w:sz w:val="21"/>
          <w:szCs w:val="21"/>
        </w:rPr>
        <w:t xml:space="preserve">dos meses</w:t>
      </w:r>
      <w:r>
        <w:rPr>
          <w:rFonts w:ascii="Calibri" w:cs="Calibri" w:eastAsia="Calibri" w:hAnsi="Calibri"/>
          <w:b w:val="false"/>
          <w:bCs w:val="false"/>
          <w:i w:val="false"/>
          <w:iCs w:val="false"/>
          <w:sz w:val="21"/>
          <w:szCs w:val="21"/>
        </w:rPr>
        <w:t xml:space="preserve"> para convocar junta general con el fin de acordar la disolución o remover la causa (por ejemplo, mediante ampliación de capital o préstamos participativos). Si no lo hace, el artículo 367 establece su </w:t>
      </w:r>
      <w:r>
        <w:rPr>
          <w:rFonts w:ascii="Calibri" w:cs="Calibri" w:eastAsia="Calibri" w:hAnsi="Calibri"/>
          <w:b/>
          <w:bCs/>
          <w:i w:val="false"/>
          <w:iCs w:val="false"/>
          <w:sz w:val="21"/>
          <w:szCs w:val="21"/>
        </w:rPr>
        <w:t xml:space="preserve">responsabilidad solidaria por las obligaciones sociales posteriores</w:t>
      </w:r>
      <w:r>
        <w:rPr>
          <w:rFonts w:ascii="Calibri" w:cs="Calibri" w:eastAsia="Calibri" w:hAnsi="Calibri"/>
          <w:b w:val="false"/>
          <w:bCs w:val="false"/>
          <w:i w:val="false"/>
          <w:iCs w:val="false"/>
          <w:sz w:val="21"/>
          <w:szCs w:val="21"/>
        </w:rPr>
        <w:t xml:space="preserve"> a la aparición de la causa.</w:t>
      </w:r>
    </w:p>
    <w:tbl>
      <w:tblPr>
        <w:tblW w:type="dxa" w:w="9600"/>
        <w:tblBorders>
          <w:top w:val="single" w:color="F8CBAD" w:sz="2"/>
          <w:left w:val="single" w:color="2E74B5" w:sz="18"/>
          <w:bottom w:val="single" w:color="F8CBAD" w:sz="2"/>
          <w:right w:val="single" w:color="F8CBAD" w:sz="2"/>
          <w:insideH w:val="none"/>
          <w:insideV w:val="none"/>
        </w:tblBorders>
      </w:tblPr>
      <w:tblGrid>
        <w:gridCol w:w="9600"/>
      </w:tblGrid>
      <w:tr>
        <w:tc>
          <w:tcPr>
            <w:tcW w:type="dxa" w:w="9600"/>
            <w:shd w:fill="F8CBAD" w:color="auto" w:val="clear"/>
            <w:tcMar>
              <w:top w:type="dxa" w:w="140"/>
              <w:left w:type="dxa" w:w="200"/>
              <w:bottom w:type="dxa" w:w="140"/>
              <w:right w:type="dxa" w:w="200"/>
            </w:tcMar>
          </w:tcPr>
          <w:p>
            <w:pPr>
              <w:spacing w:after="80" w:before="40"/>
            </w:pPr>
            <w:r>
              <w:rPr>
                <w:rFonts w:ascii="Calibri" w:cs="Calibri" w:eastAsia="Calibri" w:hAnsi="Calibri"/>
                <w:b/>
                <w:bCs/>
                <w:i w:val="false"/>
                <w:iCs w:val="false"/>
                <w:color w:val="1F3864"/>
                <w:sz w:val="21"/>
                <w:szCs w:val="21"/>
              </w:rPr>
              <w:t xml:space="preserve">Por qué esto importa aquí</w:t>
            </w:r>
          </w:p>
          <w:p>
            <w:pPr>
              <w:spacing w:after="60" w:line="252"/>
              <w:jc w:val="both"/>
            </w:pPr>
            <w:r>
              <w:rPr>
                <w:rFonts w:ascii="Calibri" w:cs="Calibri" w:eastAsia="Calibri" w:hAnsi="Calibri"/>
                <w:b w:val="false"/>
                <w:bCs w:val="false"/>
                <w:i w:val="false"/>
                <w:iCs w:val="false"/>
                <w:sz w:val="20"/>
                <w:szCs w:val="20"/>
              </w:rPr>
              <w:t xml:space="preserve">Es el mecanismo por el que una deuda de la sociedad puede terminar afectando al patrimonio personal de la administradora. </w:t>
            </w:r>
            <w:r>
              <w:rPr>
                <w:rFonts w:ascii="Calibri" w:cs="Calibri" w:eastAsia="Calibri" w:hAnsi="Calibri"/>
                <w:b/>
                <w:bCs/>
                <w:i w:val="false"/>
                <w:iCs w:val="false"/>
                <w:sz w:val="20"/>
                <w:szCs w:val="20"/>
              </w:rPr>
              <w:t xml:space="preserve">No ocurre por tener deudas: ocurre por no actuar dentro de plazo.</w:t>
            </w:r>
            <w:r>
              <w:rPr>
                <w:rFonts w:ascii="Calibri" w:cs="Calibri" w:eastAsia="Calibri" w:hAnsi="Calibri"/>
                <w:b w:val="false"/>
                <w:bCs w:val="false"/>
                <w:i w:val="false"/>
                <w:iCs w:val="false"/>
                <w:sz w:val="20"/>
                <w:szCs w:val="20"/>
              </w:rPr>
              <w:t xml:space="preserve"> Por eso el cierre contable actualizado y la revisión del patrimonio neto con la gestoría deben hacerse ahora, no al cierre del ejercicio.</w:t>
            </w:r>
          </w:p>
        </w:tc>
      </w:tr>
    </w:tbl>
    <w:p>
      <w:pPr>
        <w:pStyle w:val="Heading2"/>
        <w:spacing w:after="120" w:before="260"/>
      </w:pPr>
      <w:r>
        <w:rPr>
          <w:rFonts w:ascii="Calibri" w:cs="Calibri" w:eastAsia="Calibri" w:hAnsi="Calibri"/>
          <w:b/>
          <w:bCs/>
          <w:color w:val="2E74B5"/>
          <w:sz w:val="24"/>
          <w:szCs w:val="24"/>
        </w:rPr>
        <w:t xml:space="preserve">12.3. Si la situación fuera de insolvencia</w:t>
      </w:r>
    </w:p>
    <w:p>
      <w:pPr>
        <w:pStyle w:val="ListParagraph"/>
        <w:numPr>
          <w:ilvl w:val="0"/>
          <w:numId w:val="3"/>
        </w:numPr>
        <w:spacing w:after="70" w:line="264"/>
        <w:jc w:val="both"/>
      </w:pPr>
      <w:r>
        <w:rPr>
          <w:rFonts w:ascii="Calibri" w:cs="Calibri" w:eastAsia="Calibri" w:hAnsi="Calibri"/>
          <w:b w:val="false"/>
          <w:bCs w:val="false"/>
          <w:i w:val="false"/>
          <w:iCs w:val="false"/>
          <w:sz w:val="21"/>
          <w:szCs w:val="21"/>
        </w:rPr>
        <w:t xml:space="preserve">Existe el </w:t>
      </w:r>
      <w:r>
        <w:rPr>
          <w:rFonts w:ascii="Calibri" w:cs="Calibri" w:eastAsia="Calibri" w:hAnsi="Calibri"/>
          <w:b/>
          <w:bCs/>
          <w:i w:val="false"/>
          <w:iCs w:val="false"/>
          <w:sz w:val="21"/>
          <w:szCs w:val="21"/>
        </w:rPr>
        <w:t xml:space="preserve">deber de solicitar el concurso en los dos meses</w:t>
      </w:r>
      <w:r>
        <w:rPr>
          <w:rFonts w:ascii="Calibri" w:cs="Calibri" w:eastAsia="Calibri" w:hAnsi="Calibri"/>
          <w:b w:val="false"/>
          <w:bCs w:val="false"/>
          <w:i w:val="false"/>
          <w:iCs w:val="false"/>
          <w:sz w:val="21"/>
          <w:szCs w:val="21"/>
        </w:rPr>
        <w:t xml:space="preserve"> siguientes a la fecha en que se conoció o debió conocerse el estado de insolvencia actual.</w:t>
      </w:r>
    </w:p>
    <w:p>
      <w:pPr>
        <w:pStyle w:val="ListParagraph"/>
        <w:numPr>
          <w:ilvl w:val="0"/>
          <w:numId w:val="3"/>
        </w:numPr>
        <w:spacing w:after="70" w:line="264"/>
        <w:jc w:val="both"/>
      </w:pPr>
      <w:r>
        <w:rPr>
          <w:rFonts w:ascii="Calibri" w:cs="Calibri" w:eastAsia="Calibri" w:hAnsi="Calibri"/>
          <w:b w:val="false"/>
          <w:bCs w:val="false"/>
          <w:i w:val="false"/>
          <w:iCs w:val="false"/>
          <w:sz w:val="21"/>
          <w:szCs w:val="21"/>
        </w:rPr>
        <w:t xml:space="preserve">Antes de eso existe una herramienta de protección muy útil y poco conocida: la </w:t>
      </w:r>
      <w:r>
        <w:rPr>
          <w:rFonts w:ascii="Calibri" w:cs="Calibri" w:eastAsia="Calibri" w:hAnsi="Calibri"/>
          <w:b/>
          <w:bCs/>
          <w:i w:val="false"/>
          <w:iCs w:val="false"/>
          <w:sz w:val="21"/>
          <w:szCs w:val="21"/>
        </w:rPr>
        <w:t xml:space="preserve">comunicación de apertura de negociaciones con los acreedores</w:t>
      </w:r>
      <w:r>
        <w:rPr>
          <w:rFonts w:ascii="Calibri" w:cs="Calibri" w:eastAsia="Calibri" w:hAnsi="Calibri"/>
          <w:b w:val="false"/>
          <w:bCs w:val="false"/>
          <w:i w:val="false"/>
          <w:iCs w:val="false"/>
          <w:sz w:val="21"/>
          <w:szCs w:val="21"/>
        </w:rPr>
        <w:t xml:space="preserve"> (el llamado "preconcurso", artículos 585 y siguientes del Texto Refundido de la Ley Concursal). Suspende el deber de solicitar concurso y </w:t>
      </w:r>
      <w:r>
        <w:rPr>
          <w:rFonts w:ascii="Calibri" w:cs="Calibri" w:eastAsia="Calibri" w:hAnsi="Calibri"/>
          <w:b/>
          <w:bCs/>
          <w:i w:val="false"/>
          <w:iCs w:val="false"/>
          <w:sz w:val="21"/>
          <w:szCs w:val="21"/>
        </w:rPr>
        <w:t xml:space="preserve">paraliza ejecuciones</w:t>
      </w:r>
      <w:r>
        <w:rPr>
          <w:rFonts w:ascii="Calibri" w:cs="Calibri" w:eastAsia="Calibri" w:hAnsi="Calibri"/>
          <w:b w:val="false"/>
          <w:bCs w:val="false"/>
          <w:i w:val="false"/>
          <w:iCs w:val="false"/>
          <w:sz w:val="21"/>
          <w:szCs w:val="21"/>
        </w:rPr>
        <w:t xml:space="preserve"> durante tres meses, prorrogables, mientras se negocia un </w:t>
      </w:r>
      <w:r>
        <w:rPr>
          <w:rFonts w:ascii="Calibri" w:cs="Calibri" w:eastAsia="Calibri" w:hAnsi="Calibri"/>
          <w:b/>
          <w:bCs/>
          <w:i w:val="false"/>
          <w:iCs w:val="false"/>
          <w:sz w:val="21"/>
          <w:szCs w:val="21"/>
        </w:rPr>
        <w:t xml:space="preserve">plan de reestructuración</w:t>
      </w:r>
      <w:r>
        <w:rPr>
          <w:rFonts w:ascii="Calibri" w:cs="Calibri" w:eastAsia="Calibri" w:hAnsi="Calibri"/>
          <w:b w:val="false"/>
          <w:bCs w:val="false"/>
          <w:i w:val="false"/>
          <w:iCs w:val="false"/>
          <w:sz w:val="21"/>
          <w:szCs w:val="21"/>
        </w:rPr>
        <w:t xml:space="preserve">.</w:t>
      </w:r>
    </w:p>
    <w:p>
      <w:pPr>
        <w:pStyle w:val="ListParagraph"/>
        <w:numPr>
          <w:ilvl w:val="0"/>
          <w:numId w:val="3"/>
        </w:numPr>
        <w:spacing w:after="70" w:line="264"/>
        <w:jc w:val="both"/>
      </w:pPr>
      <w:r>
        <w:rPr>
          <w:rFonts w:ascii="Calibri" w:cs="Calibri" w:eastAsia="Calibri" w:hAnsi="Calibri"/>
          <w:b w:val="false"/>
          <w:bCs w:val="false"/>
          <w:i w:val="false"/>
          <w:iCs w:val="false"/>
          <w:sz w:val="21"/>
          <w:szCs w:val="21"/>
        </w:rPr>
        <w:t xml:space="preserve">Para empresas de menor tamaño existe además el </w:t>
      </w:r>
      <w:r>
        <w:rPr>
          <w:rFonts w:ascii="Calibri" w:cs="Calibri" w:eastAsia="Calibri" w:hAnsi="Calibri"/>
          <w:b/>
          <w:bCs/>
          <w:i w:val="false"/>
          <w:iCs w:val="false"/>
          <w:sz w:val="21"/>
          <w:szCs w:val="21"/>
        </w:rPr>
        <w:t xml:space="preserve">procedimiento especial para microempresas</w:t>
      </w:r>
      <w:r>
        <w:rPr>
          <w:rFonts w:ascii="Calibri" w:cs="Calibri" w:eastAsia="Calibri" w:hAnsi="Calibri"/>
          <w:b w:val="false"/>
          <w:bCs w:val="false"/>
          <w:i w:val="false"/>
          <w:iCs w:val="false"/>
          <w:sz w:val="21"/>
          <w:szCs w:val="21"/>
        </w:rPr>
        <w:t xml:space="preserve">, más ágil y de menor coste.</w:t>
      </w:r>
    </w:p>
    <w:p>
      <w:pPr>
        <w:spacing w:after="120" w:line="264"/>
        <w:jc w:val="both"/>
      </w:pPr>
      <w:r>
        <w:rPr>
          <w:rFonts w:ascii="Calibri" w:cs="Calibri" w:eastAsia="Calibri" w:hAnsi="Calibri"/>
          <w:b/>
          <w:bCs/>
          <w:i w:val="false"/>
          <w:iCs w:val="false"/>
          <w:sz w:val="21"/>
          <w:szCs w:val="21"/>
        </w:rPr>
        <w:t xml:space="preserve">El preconcurso no es un fracaso: es un paraguas.</w:t>
      </w:r>
      <w:r>
        <w:rPr>
          <w:rFonts w:ascii="Calibri" w:cs="Calibri" w:eastAsia="Calibri" w:hAnsi="Calibri"/>
          <w:b w:val="false"/>
          <w:bCs w:val="false"/>
          <w:i w:val="false"/>
          <w:iCs w:val="false"/>
          <w:sz w:val="21"/>
          <w:szCs w:val="21"/>
        </w:rPr>
        <w:t xml:space="preserve"> Da tiempo, detiene embargos y obliga a los acreedores a sentarse a negociar. Su principal virtud es que solo funciona si se activa a tiempo; cuanto más se espera, menos opciones quedan.</w:t>
      </w:r>
    </w:p>
    <w:p>
      <w:pPr>
        <w:pStyle w:val="Heading2"/>
        <w:spacing w:after="120" w:before="260"/>
      </w:pPr>
      <w:r>
        <w:rPr>
          <w:rFonts w:ascii="Calibri" w:cs="Calibri" w:eastAsia="Calibri" w:hAnsi="Calibri"/>
          <w:b/>
          <w:bCs/>
          <w:color w:val="2E74B5"/>
          <w:sz w:val="24"/>
          <w:szCs w:val="24"/>
        </w:rPr>
        <w:t xml:space="preserve">12.4. Semáforo de alerta</w:t>
      </w:r>
    </w:p>
    <w:tbl>
      <w:tblPr>
        <w:tblW w:type="dxa" w:w="9600"/>
        <w:tblBorders>
          <w:top w:val="single" w:color="BFBFBF" w:sz="4"/>
          <w:left w:val="single" w:color="BFBFBF" w:sz="4"/>
          <w:bottom w:val="single" w:color="BFBFBF" w:sz="4"/>
          <w:right w:val="single" w:color="BFBFBF" w:sz="4"/>
          <w:insideH w:val="single" w:color="D9D9D9" w:sz="2"/>
          <w:insideV w:val="single" w:color="D9D9D9" w:sz="2"/>
        </w:tblBorders>
      </w:tblPr>
      <w:tblGrid>
        <w:gridCol w:w="4200"/>
        <w:gridCol w:w="5400"/>
      </w:tblGrid>
      <w:tr>
        <w:trPr>
          <w:tblHeader/>
        </w:trPr>
        <w:tc>
          <w:tcPr>
            <w:tcW w:type="dxa" w:w="4200"/>
            <w:shd w:fill="1F3864"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color w:val="FFFFFF"/>
                <w:sz w:val="19"/>
                <w:szCs w:val="19"/>
              </w:rPr>
              <w:t xml:space="preserve">Señal</w:t>
            </w:r>
          </w:p>
        </w:tc>
        <w:tc>
          <w:tcPr>
            <w:tcW w:type="dxa" w:w="5400"/>
            <w:shd w:fill="1F3864"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color w:val="FFFFFF"/>
                <w:sz w:val="19"/>
                <w:szCs w:val="19"/>
              </w:rPr>
              <w:t xml:space="preserve">Acción y plazo</w:t>
            </w:r>
          </w:p>
        </w:tc>
      </w:tr>
      <w:tr>
        <w:tc>
          <w:tcPr>
            <w:tcW w:type="dxa" w:w="4200"/>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sz w:val="19"/>
                <w:szCs w:val="19"/>
              </w:rPr>
              <w:t xml:space="preserve">Imposibilidad de pagar nóminas o cotizaciones sociales</w:t>
            </w:r>
          </w:p>
        </w:tc>
        <w:tc>
          <w:tcPr>
            <w:tcW w:type="dxa" w:w="5400"/>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Contactar con asesoría laboral </w:t>
            </w:r>
            <w:r>
              <w:rPr>
                <w:rFonts w:ascii="Calibri" w:cs="Calibri" w:eastAsia="Calibri" w:hAnsi="Calibri"/>
                <w:b/>
                <w:bCs/>
                <w:i w:val="false"/>
                <w:iCs w:val="false"/>
                <w:sz w:val="19"/>
                <w:szCs w:val="19"/>
              </w:rPr>
              <w:t xml:space="preserve">el mismo día</w:t>
            </w:r>
            <w:r>
              <w:rPr>
                <w:rFonts w:ascii="Calibri" w:cs="Calibri" w:eastAsia="Calibri" w:hAnsi="Calibri"/>
                <w:b w:val="false"/>
                <w:bCs w:val="false"/>
                <w:i w:val="false"/>
                <w:iCs w:val="false"/>
                <w:sz w:val="19"/>
                <w:szCs w:val="19"/>
              </w:rPr>
              <w:t xml:space="preserve">. Es el umbral más crítico.</w:t>
            </w:r>
          </w:p>
        </w:tc>
      </w:tr>
      <w:tr>
        <w:tc>
          <w:tcPr>
            <w:tcW w:type="dxa" w:w="42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sz w:val="19"/>
                <w:szCs w:val="19"/>
              </w:rPr>
              <w:t xml:space="preserve">Notificación de embargo de cuenta bancaria</w:t>
            </w:r>
          </w:p>
        </w:tc>
        <w:tc>
          <w:tcPr>
            <w:tcW w:type="dxa" w:w="54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Abogado </w:t>
            </w:r>
            <w:r>
              <w:rPr>
                <w:rFonts w:ascii="Calibri" w:cs="Calibri" w:eastAsia="Calibri" w:hAnsi="Calibri"/>
                <w:b/>
                <w:bCs/>
                <w:i w:val="false"/>
                <w:iCs w:val="false"/>
                <w:sz w:val="19"/>
                <w:szCs w:val="19"/>
              </w:rPr>
              <w:t xml:space="preserve">inmediatamente</w:t>
            </w:r>
            <w:r>
              <w:rPr>
                <w:rFonts w:ascii="Calibri" w:cs="Calibri" w:eastAsia="Calibri" w:hAnsi="Calibri"/>
                <w:b w:val="false"/>
                <w:bCs w:val="false"/>
                <w:i w:val="false"/>
                <w:iCs w:val="false"/>
                <w:sz w:val="19"/>
                <w:szCs w:val="19"/>
              </w:rPr>
              <w:t xml:space="preserve">. Un embargo puede dejar la operativa sin capacidad de pagar gasoil.</w:t>
            </w:r>
          </w:p>
        </w:tc>
      </w:tr>
      <w:tr>
        <w:tc>
          <w:tcPr>
            <w:tcW w:type="dxa" w:w="4200"/>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sz w:val="19"/>
                <w:szCs w:val="19"/>
              </w:rPr>
              <w:t xml:space="preserve">Recepción de burofax o procedimiento monitorio</w:t>
            </w:r>
          </w:p>
        </w:tc>
        <w:tc>
          <w:tcPr>
            <w:tcW w:type="dxa" w:w="5400"/>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Responder dentro del plazo legal. No ignorar nunca: la falta de oposición convierte la deuda en ejecutable.</w:t>
            </w:r>
          </w:p>
        </w:tc>
      </w:tr>
      <w:tr>
        <w:tc>
          <w:tcPr>
            <w:tcW w:type="dxa" w:w="42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sz w:val="19"/>
                <w:szCs w:val="19"/>
              </w:rPr>
              <w:t xml:space="preserve">Proyección de caja negativa en menos de 4 semanas sin solución identificada</w:t>
            </w:r>
          </w:p>
        </w:tc>
        <w:tc>
          <w:tcPr>
            <w:tcW w:type="dxa" w:w="54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Activar plan B: financiación, aplazamientos fiscales o negociación global con acreedores.</w:t>
            </w:r>
          </w:p>
        </w:tc>
      </w:tr>
      <w:tr>
        <w:tc>
          <w:tcPr>
            <w:tcW w:type="dxa" w:w="4200"/>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sz w:val="19"/>
                <w:szCs w:val="19"/>
              </w:rPr>
              <w:t xml:space="preserve">Patrimonio neto por debajo de la mitad del capital social</w:t>
            </w:r>
          </w:p>
        </w:tc>
        <w:tc>
          <w:tcPr>
            <w:tcW w:type="dxa" w:w="5400"/>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Reunión con gestoría y asesoría mercantil en </w:t>
            </w:r>
            <w:r>
              <w:rPr>
                <w:rFonts w:ascii="Calibri" w:cs="Calibri" w:eastAsia="Calibri" w:hAnsi="Calibri"/>
                <w:b/>
                <w:bCs/>
                <w:i w:val="false"/>
                <w:iCs w:val="false"/>
                <w:sz w:val="19"/>
                <w:szCs w:val="19"/>
              </w:rPr>
              <w:t xml:space="preserve">15 días</w:t>
            </w:r>
            <w:r>
              <w:rPr>
                <w:rFonts w:ascii="Calibri" w:cs="Calibri" w:eastAsia="Calibri" w:hAnsi="Calibri"/>
                <w:b w:val="false"/>
                <w:bCs w:val="false"/>
                <w:i w:val="false"/>
                <w:iCs w:val="false"/>
                <w:sz w:val="19"/>
                <w:szCs w:val="19"/>
              </w:rPr>
              <w:t xml:space="preserve">.</w:t>
            </w:r>
          </w:p>
        </w:tc>
      </w:tr>
      <w:tr>
        <w:tc>
          <w:tcPr>
            <w:tcW w:type="dxa" w:w="42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sz w:val="19"/>
                <w:szCs w:val="19"/>
              </w:rPr>
              <w:t xml:space="preserve">Imposibilidad de atender obligaciones de forma regular</w:t>
            </w:r>
          </w:p>
        </w:tc>
        <w:tc>
          <w:tcPr>
            <w:tcW w:type="dxa" w:w="54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Valorar preconcurso con abogado mercantil. </w:t>
            </w:r>
            <w:r>
              <w:rPr>
                <w:rFonts w:ascii="Calibri" w:cs="Calibri" w:eastAsia="Calibri" w:hAnsi="Calibri"/>
                <w:b/>
                <w:bCs/>
                <w:i w:val="false"/>
                <w:iCs w:val="false"/>
                <w:sz w:val="19"/>
                <w:szCs w:val="19"/>
              </w:rPr>
              <w:t xml:space="preserve">No dejar correr los dos meses.</w:t>
            </w:r>
          </w:p>
        </w:tc>
      </w:tr>
    </w:tbl>
    <w:p>
      <w:pPr>
        <w:pStyle w:val="Heading1"/>
        <w:pageBreakBefore/>
        <w:pBdr>
          <w:bottom w:val="single" w:color="2E74B5" w:sz="8" w:space="6"/>
        </w:pBdr>
        <w:spacing w:after="180" w:before="240"/>
      </w:pPr>
      <w:r>
        <w:rPr>
          <w:rFonts w:ascii="Calibri" w:cs="Calibri" w:eastAsia="Calibri" w:hAnsi="Calibri"/>
          <w:b/>
          <w:bCs/>
          <w:color w:val="1F3864"/>
          <w:sz w:val="30"/>
          <w:szCs w:val="30"/>
        </w:rPr>
        <w:t xml:space="preserve">13. Calendario de implantación (30 días)</w:t>
      </w:r>
    </w:p>
    <w:tbl>
      <w:tblPr>
        <w:tblW w:type="dxa" w:w="9600"/>
        <w:tblBorders>
          <w:top w:val="single" w:color="BFBFBF" w:sz="4"/>
          <w:left w:val="single" w:color="BFBFBF" w:sz="4"/>
          <w:bottom w:val="single" w:color="BFBFBF" w:sz="4"/>
          <w:right w:val="single" w:color="BFBFBF" w:sz="4"/>
          <w:insideH w:val="single" w:color="D9D9D9" w:sz="2"/>
          <w:insideV w:val="single" w:color="D9D9D9" w:sz="2"/>
        </w:tblBorders>
      </w:tblPr>
      <w:tblGrid>
        <w:gridCol w:w="1500"/>
        <w:gridCol w:w="6100"/>
        <w:gridCol w:w="2000"/>
      </w:tblGrid>
      <w:tr>
        <w:trPr>
          <w:tblHeader/>
        </w:trPr>
        <w:tc>
          <w:tcPr>
            <w:tcW w:type="dxa" w:w="1500"/>
            <w:shd w:fill="1F3864"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color w:val="FFFFFF"/>
                <w:sz w:val="19"/>
                <w:szCs w:val="19"/>
              </w:rPr>
              <w:t xml:space="preserve">Cuándo</w:t>
            </w:r>
          </w:p>
        </w:tc>
        <w:tc>
          <w:tcPr>
            <w:tcW w:type="dxa" w:w="6100"/>
            <w:shd w:fill="1F3864"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color w:val="FFFFFF"/>
                <w:sz w:val="19"/>
                <w:szCs w:val="19"/>
              </w:rPr>
              <w:t xml:space="preserve">Qué</w:t>
            </w:r>
          </w:p>
        </w:tc>
        <w:tc>
          <w:tcPr>
            <w:tcW w:type="dxa" w:w="2000"/>
            <w:shd w:fill="1F3864"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color w:val="FFFFFF"/>
                <w:sz w:val="19"/>
                <w:szCs w:val="19"/>
              </w:rPr>
              <w:t xml:space="preserve">Quién</w:t>
            </w:r>
          </w:p>
        </w:tc>
      </w:tr>
      <w:tr>
        <w:tc>
          <w:tcPr>
            <w:tcW w:type="dxa" w:w="1500"/>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sz w:val="19"/>
                <w:szCs w:val="19"/>
              </w:rPr>
              <w:t xml:space="preserve">Días 1–3</w:t>
            </w:r>
          </w:p>
        </w:tc>
        <w:tc>
          <w:tcPr>
            <w:tcW w:type="dxa" w:w="6100"/>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Protocolo de comunicación activo. Canal único creado y comunicado por escrito a todos los proveedores. Registro de reclamaciones en marcha.</w:t>
            </w:r>
          </w:p>
        </w:tc>
        <w:tc>
          <w:tcPr>
            <w:tcW w:type="dxa" w:w="2000"/>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Administración</w:t>
            </w:r>
          </w:p>
        </w:tc>
      </w:tr>
      <w:tr>
        <w:tc>
          <w:tcPr>
            <w:tcW w:type="dxa" w:w="15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sz w:val="19"/>
                <w:szCs w:val="19"/>
              </w:rPr>
              <w:t xml:space="preserve">Días 1–5</w:t>
            </w:r>
          </w:p>
        </w:tc>
        <w:tc>
          <w:tcPr>
            <w:tcW w:type="dxa" w:w="61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Los cuatro inventarios completados (deuda, cobros, deuda pública y laboral, caja y financiación).</w:t>
            </w:r>
          </w:p>
        </w:tc>
        <w:tc>
          <w:tcPr>
            <w:tcW w:type="dxa" w:w="20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Administración + Gestoría</w:t>
            </w:r>
          </w:p>
        </w:tc>
      </w:tr>
      <w:tr>
        <w:tc>
          <w:tcPr>
            <w:tcW w:type="dxa" w:w="1500"/>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sz w:val="19"/>
                <w:szCs w:val="19"/>
              </w:rPr>
              <w:t xml:space="preserve">Día 5</w:t>
            </w:r>
          </w:p>
        </w:tc>
        <w:tc>
          <w:tcPr>
            <w:tcW w:type="dxa" w:w="6100"/>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Test de viabilidad del apartado 3.3 con la gestoría. Revisión del patrimonio neto.</w:t>
            </w:r>
          </w:p>
        </w:tc>
        <w:tc>
          <w:tcPr>
            <w:tcW w:type="dxa" w:w="2000"/>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Dirección + Gestoría</w:t>
            </w:r>
          </w:p>
        </w:tc>
      </w:tr>
      <w:tr>
        <w:tc>
          <w:tcPr>
            <w:tcW w:type="dxa" w:w="15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sz w:val="19"/>
                <w:szCs w:val="19"/>
              </w:rPr>
              <w:t xml:space="preserve">Días 5–7</w:t>
            </w:r>
          </w:p>
        </w:tc>
        <w:tc>
          <w:tcPr>
            <w:tcW w:type="dxa" w:w="61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Matriz de criticidad de proveedores completada y validada.</w:t>
            </w:r>
          </w:p>
        </w:tc>
        <w:tc>
          <w:tcPr>
            <w:tcW w:type="dxa" w:w="20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Administración / Dirección</w:t>
            </w:r>
          </w:p>
        </w:tc>
      </w:tr>
      <w:tr>
        <w:tc>
          <w:tcPr>
            <w:tcW w:type="dxa" w:w="1500"/>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sz w:val="19"/>
                <w:szCs w:val="19"/>
              </w:rPr>
              <w:t xml:space="preserve">Día 7</w:t>
            </w:r>
          </w:p>
        </w:tc>
        <w:tc>
          <w:tcPr>
            <w:tcW w:type="dxa" w:w="6100"/>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Política de prelación de pagos aprobada y firmada por Dirección.</w:t>
            </w:r>
          </w:p>
        </w:tc>
        <w:tc>
          <w:tcPr>
            <w:tcW w:type="dxa" w:w="2000"/>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Dirección</w:t>
            </w:r>
          </w:p>
        </w:tc>
      </w:tr>
      <w:tr>
        <w:tc>
          <w:tcPr>
            <w:tcW w:type="dxa" w:w="15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sz w:val="19"/>
                <w:szCs w:val="19"/>
              </w:rPr>
              <w:t xml:space="preserve">Días 7–10</w:t>
            </w:r>
          </w:p>
        </w:tc>
        <w:tc>
          <w:tcPr>
            <w:tcW w:type="dxa" w:w="61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Presupuesto de tesorería a 13 semanas, en tres escenarios. Identificación de la "semana de rotura".</w:t>
            </w:r>
          </w:p>
        </w:tc>
        <w:tc>
          <w:tcPr>
            <w:tcW w:type="dxa" w:w="20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Administración</w:t>
            </w:r>
          </w:p>
        </w:tc>
      </w:tr>
      <w:tr>
        <w:tc>
          <w:tcPr>
            <w:tcW w:type="dxa" w:w="1500"/>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sz w:val="19"/>
                <w:szCs w:val="19"/>
              </w:rPr>
              <w:t xml:space="preserve">Días 7–10</w:t>
            </w:r>
          </w:p>
        </w:tc>
        <w:tc>
          <w:tcPr>
            <w:tcW w:type="dxa" w:w="6100"/>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Palancas rápidas: solicitud de ayudas del carburante y verificación del censo de gasóleo profesional; revisión de la cláusula de revisión de precio.</w:t>
            </w:r>
          </w:p>
        </w:tc>
        <w:tc>
          <w:tcPr>
            <w:tcW w:type="dxa" w:w="2000"/>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Gestoría</w:t>
            </w:r>
          </w:p>
        </w:tc>
      </w:tr>
      <w:tr>
        <w:tc>
          <w:tcPr>
            <w:tcW w:type="dxa" w:w="15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sz w:val="19"/>
                <w:szCs w:val="19"/>
              </w:rPr>
              <w:t xml:space="preserve">Días 10–15</w:t>
            </w:r>
          </w:p>
        </w:tc>
        <w:tc>
          <w:tcPr>
            <w:tcW w:type="dxa" w:w="61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Negociación con el proveedor de gasoil y con los acreedores que superen el 15 % de la deuda.</w:t>
            </w:r>
          </w:p>
        </w:tc>
        <w:tc>
          <w:tcPr>
            <w:tcW w:type="dxa" w:w="20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Dirección</w:t>
            </w:r>
          </w:p>
        </w:tc>
      </w:tr>
      <w:tr>
        <w:tc>
          <w:tcPr>
            <w:tcW w:type="dxa" w:w="1500"/>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sz w:val="19"/>
                <w:szCs w:val="19"/>
              </w:rPr>
              <w:t xml:space="preserve">Días 10–20</w:t>
            </w:r>
          </w:p>
        </w:tc>
        <w:tc>
          <w:tcPr>
            <w:tcW w:type="dxa" w:w="6100"/>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Solicitud de aplazamientos ante AEAT y TGSS. Estudio de anticipo de facturas.</w:t>
            </w:r>
          </w:p>
        </w:tc>
        <w:tc>
          <w:tcPr>
            <w:tcW w:type="dxa" w:w="2000"/>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Gestoría + Administración</w:t>
            </w:r>
          </w:p>
        </w:tc>
      </w:tr>
      <w:tr>
        <w:tc>
          <w:tcPr>
            <w:tcW w:type="dxa" w:w="15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sz w:val="19"/>
                <w:szCs w:val="19"/>
              </w:rPr>
              <w:t xml:space="preserve">Días 15–25</w:t>
            </w:r>
          </w:p>
        </w:tc>
        <w:tc>
          <w:tcPr>
            <w:tcW w:type="dxa" w:w="61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Negociación con el resto de proveedores ámbar. Acuerdos por escrito y registrados.</w:t>
            </w:r>
          </w:p>
        </w:tc>
        <w:tc>
          <w:tcPr>
            <w:tcW w:type="dxa" w:w="20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Administración</w:t>
            </w:r>
          </w:p>
        </w:tc>
      </w:tr>
      <w:tr>
        <w:tc>
          <w:tcPr>
            <w:tcW w:type="dxa" w:w="1500"/>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sz w:val="19"/>
                <w:szCs w:val="19"/>
              </w:rPr>
              <w:t xml:space="preserve">Días 20–30</w:t>
            </w:r>
          </w:p>
        </w:tc>
        <w:tc>
          <w:tcPr>
            <w:tcW w:type="dxa" w:w="6100"/>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Rutina de cobro de clientes implantada. Revisión de rutas y clientes no rentables.</w:t>
            </w:r>
          </w:p>
        </w:tc>
        <w:tc>
          <w:tcPr>
            <w:tcW w:type="dxa" w:w="2000"/>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Administración + Dirección</w:t>
            </w:r>
          </w:p>
        </w:tc>
      </w:tr>
      <w:tr>
        <w:tc>
          <w:tcPr>
            <w:tcW w:type="dxa" w:w="15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sz w:val="19"/>
                <w:szCs w:val="19"/>
              </w:rPr>
              <w:t xml:space="preserve">Día 30</w:t>
            </w:r>
          </w:p>
        </w:tc>
        <w:tc>
          <w:tcPr>
            <w:tcW w:type="dxa" w:w="61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Primer comité de pagos en régimen normal. Cuadro de mando operativo.</w:t>
            </w:r>
          </w:p>
        </w:tc>
        <w:tc>
          <w:tcPr>
            <w:tcW w:type="dxa" w:w="20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Dirección + Administración</w:t>
            </w:r>
          </w:p>
        </w:tc>
      </w:tr>
    </w:tbl>
    <w:p>
      <w:pPr>
        <w:pStyle w:val="Heading1"/>
        <w:pageBreakBefore/>
        <w:pBdr>
          <w:bottom w:val="single" w:color="2E74B5" w:sz="8" w:space="6"/>
        </w:pBdr>
        <w:spacing w:after="180" w:before="240"/>
      </w:pPr>
      <w:r>
        <w:rPr>
          <w:rFonts w:ascii="Calibri" w:cs="Calibri" w:eastAsia="Calibri" w:hAnsi="Calibri"/>
          <w:b/>
          <w:bCs/>
          <w:color w:val="1F3864"/>
          <w:sz w:val="30"/>
          <w:szCs w:val="30"/>
        </w:rPr>
        <w:t xml:space="preserve">14. Automatización: el módulo de previsión de pagos</w:t>
      </w:r>
    </w:p>
    <w:p>
      <w:pPr>
        <w:spacing w:after="120" w:line="264"/>
        <w:jc w:val="both"/>
      </w:pPr>
      <w:r>
        <w:rPr>
          <w:rFonts w:ascii="Calibri" w:cs="Calibri" w:eastAsia="Calibri" w:hAnsi="Calibri"/>
          <w:b w:val="false"/>
          <w:bCs w:val="false"/>
          <w:i w:val="false"/>
          <w:iCs w:val="false"/>
          <w:sz w:val="21"/>
          <w:szCs w:val="21"/>
        </w:rPr>
        <w:t xml:space="preserve">Todo lo anterior funciona desde el primer día con una hoja de cálculo, y así debe arrancar: no hay que esperar a ningún desarrollo. Pero como la empresa está construyendo su propio sistema de gestión, conviene que este plan se convierta en la especificación funcional del módulo de tesorería, para que el proceso se sostenga solo.</w:t>
      </w:r>
    </w:p>
    <w:p>
      <w:pPr>
        <w:pStyle w:val="Heading2"/>
        <w:spacing w:after="120" w:before="260"/>
      </w:pPr>
      <w:r>
        <w:rPr>
          <w:rFonts w:ascii="Calibri" w:cs="Calibri" w:eastAsia="Calibri" w:hAnsi="Calibri"/>
          <w:b/>
          <w:bCs/>
          <w:color w:val="2E74B5"/>
          <w:sz w:val="24"/>
          <w:szCs w:val="24"/>
        </w:rPr>
        <w:t xml:space="preserve">14.1. Modelo de datos mínimo</w:t>
      </w:r>
    </w:p>
    <w:tbl>
      <w:tblPr>
        <w:tblW w:type="dxa" w:w="9600"/>
        <w:tblBorders>
          <w:top w:val="single" w:color="BFBFBF" w:sz="4"/>
          <w:left w:val="single" w:color="BFBFBF" w:sz="4"/>
          <w:bottom w:val="single" w:color="BFBFBF" w:sz="4"/>
          <w:right w:val="single" w:color="BFBFBF" w:sz="4"/>
          <w:insideH w:val="single" w:color="D9D9D9" w:sz="2"/>
          <w:insideV w:val="single" w:color="D9D9D9" w:sz="2"/>
        </w:tblBorders>
      </w:tblPr>
      <w:tblGrid>
        <w:gridCol w:w="2200"/>
        <w:gridCol w:w="7400"/>
      </w:tblGrid>
      <w:tr>
        <w:trPr>
          <w:tblHeader/>
        </w:trPr>
        <w:tc>
          <w:tcPr>
            <w:tcW w:type="dxa" w:w="2200"/>
            <w:shd w:fill="1F3864"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color w:val="FFFFFF"/>
                <w:sz w:val="19"/>
                <w:szCs w:val="19"/>
              </w:rPr>
              <w:t xml:space="preserve">Entidad</w:t>
            </w:r>
          </w:p>
        </w:tc>
        <w:tc>
          <w:tcPr>
            <w:tcW w:type="dxa" w:w="7400"/>
            <w:shd w:fill="1F3864"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color w:val="FFFFFF"/>
                <w:sz w:val="19"/>
                <w:szCs w:val="19"/>
              </w:rPr>
              <w:t xml:space="preserve">Campos clave</w:t>
            </w:r>
          </w:p>
        </w:tc>
      </w:tr>
      <w:tr>
        <w:tc>
          <w:tcPr>
            <w:tcW w:type="dxa" w:w="2200"/>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sz w:val="19"/>
                <w:szCs w:val="19"/>
              </w:rPr>
              <w:t xml:space="preserve">proveedor</w:t>
            </w:r>
          </w:p>
        </w:tc>
        <w:tc>
          <w:tcPr>
            <w:tcW w:type="dxa" w:w="7400"/>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nombre, NIF, contacto, categoría de gasto, </w:t>
            </w:r>
            <w:r>
              <w:rPr>
                <w:rFonts w:ascii="Calibri" w:cs="Calibri" w:eastAsia="Calibri" w:hAnsi="Calibri"/>
                <w:b/>
                <w:bCs/>
                <w:i w:val="false"/>
                <w:iCs w:val="false"/>
                <w:sz w:val="19"/>
                <w:szCs w:val="19"/>
              </w:rPr>
              <w:t xml:space="preserve">criticidad</w:t>
            </w:r>
            <w:r>
              <w:rPr>
                <w:rFonts w:ascii="Calibri" w:cs="Calibri" w:eastAsia="Calibri" w:hAnsi="Calibri"/>
                <w:b w:val="false"/>
                <w:bCs w:val="false"/>
                <w:i w:val="false"/>
                <w:iCs w:val="false"/>
                <w:sz w:val="19"/>
                <w:szCs w:val="19"/>
              </w:rPr>
              <w:t xml:space="preserve"> (rojo/ámbar/verde), </w:t>
            </w:r>
            <w:r>
              <w:rPr>
                <w:rFonts w:ascii="Calibri" w:cs="Calibri" w:eastAsia="Calibri" w:hAnsi="Calibri"/>
                <w:b/>
                <w:bCs/>
                <w:i w:val="false"/>
                <w:iCs w:val="false"/>
                <w:sz w:val="19"/>
                <w:szCs w:val="19"/>
              </w:rPr>
              <w:t xml:space="preserve">nivel_prelacion</w:t>
            </w:r>
            <w:r>
              <w:rPr>
                <w:rFonts w:ascii="Calibri" w:cs="Calibri" w:eastAsia="Calibri" w:hAnsi="Calibri"/>
                <w:b w:val="false"/>
                <w:bCs w:val="false"/>
                <w:i w:val="false"/>
                <w:iCs w:val="false"/>
                <w:sz w:val="19"/>
                <w:szCs w:val="19"/>
              </w:rPr>
              <w:t xml:space="preserve"> (1–6), concentración sobre deuda total.</w:t>
            </w:r>
          </w:p>
        </w:tc>
      </w:tr>
      <w:tr>
        <w:tc>
          <w:tcPr>
            <w:tcW w:type="dxa" w:w="22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sz w:val="19"/>
                <w:szCs w:val="19"/>
              </w:rPr>
              <w:t xml:space="preserve">factura_proveedor</w:t>
            </w:r>
          </w:p>
        </w:tc>
        <w:tc>
          <w:tcPr>
            <w:tcW w:type="dxa" w:w="74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proveedor, número, fecha_emisión, fecha_vencimiento, importe, importe_pendiente, estado, días_retraso (calculado).</w:t>
            </w:r>
          </w:p>
        </w:tc>
      </w:tr>
      <w:tr>
        <w:tc>
          <w:tcPr>
            <w:tcW w:type="dxa" w:w="2200"/>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sz w:val="19"/>
                <w:szCs w:val="19"/>
              </w:rPr>
              <w:t xml:space="preserve">factura_cliente</w:t>
            </w:r>
          </w:p>
        </w:tc>
        <w:tc>
          <w:tcPr>
            <w:tcW w:type="dxa" w:w="7400"/>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cliente, número, fecha, vencimiento, importe, cobrado, </w:t>
            </w:r>
            <w:r>
              <w:rPr>
                <w:rFonts w:ascii="Calibri" w:cs="Calibri" w:eastAsia="Calibri" w:hAnsi="Calibri"/>
                <w:b/>
                <w:bCs/>
                <w:i w:val="false"/>
                <w:iCs w:val="false"/>
                <w:sz w:val="19"/>
                <w:szCs w:val="19"/>
              </w:rPr>
              <w:t xml:space="preserve">fecha_cobro_estimada</w:t>
            </w:r>
            <w:r>
              <w:rPr>
                <w:rFonts w:ascii="Calibri" w:cs="Calibri" w:eastAsia="Calibri" w:hAnsi="Calibri"/>
                <w:b w:val="false"/>
                <w:bCs w:val="false"/>
                <w:i w:val="false"/>
                <w:iCs w:val="false"/>
                <w:sz w:val="19"/>
                <w:szCs w:val="19"/>
              </w:rPr>
              <w:t xml:space="preserve"> (según histórico real del cliente), revisión_gasóleo_aplicada (sí/no).</w:t>
            </w:r>
          </w:p>
        </w:tc>
      </w:tr>
      <w:tr>
        <w:tc>
          <w:tcPr>
            <w:tcW w:type="dxa" w:w="22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sz w:val="19"/>
                <w:szCs w:val="19"/>
              </w:rPr>
              <w:t xml:space="preserve">acuerdo_pago</w:t>
            </w:r>
          </w:p>
        </w:tc>
        <w:tc>
          <w:tcPr>
            <w:tcW w:type="dxa" w:w="74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proveedor, importe total, nº de cuotas, calendario de vencimientos, estado de cumplimiento, documento asociado.</w:t>
            </w:r>
          </w:p>
        </w:tc>
      </w:tr>
      <w:tr>
        <w:tc>
          <w:tcPr>
            <w:tcW w:type="dxa" w:w="2200"/>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sz w:val="19"/>
                <w:szCs w:val="19"/>
              </w:rPr>
              <w:t xml:space="preserve">pago_programado</w:t>
            </w:r>
          </w:p>
        </w:tc>
        <w:tc>
          <w:tcPr>
            <w:tcW w:type="dxa" w:w="7400"/>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factura o acuerdo, fecha prevista, importe, nivel de prelación, estado (propuesto / aprobado / pagado).</w:t>
            </w:r>
          </w:p>
        </w:tc>
      </w:tr>
      <w:tr>
        <w:tc>
          <w:tcPr>
            <w:tcW w:type="dxa" w:w="22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sz w:val="19"/>
                <w:szCs w:val="19"/>
              </w:rPr>
              <w:t xml:space="preserve">movimiento_caja</w:t>
            </w:r>
          </w:p>
        </w:tc>
        <w:tc>
          <w:tcPr>
            <w:tcW w:type="dxa" w:w="74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fecha, cuenta, importe, signo, concepto, conciliado.</w:t>
            </w:r>
          </w:p>
        </w:tc>
      </w:tr>
      <w:tr>
        <w:tc>
          <w:tcPr>
            <w:tcW w:type="dxa" w:w="2200"/>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sz w:val="19"/>
                <w:szCs w:val="19"/>
              </w:rPr>
              <w:t xml:space="preserve">reclamacion</w:t>
            </w:r>
          </w:p>
        </w:tc>
        <w:tc>
          <w:tcPr>
            <w:tcW w:type="dxa" w:w="7400"/>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proveedor, fecha, canal, importe reclamado, tono, compromiso adquirido, </w:t>
            </w:r>
            <w:r>
              <w:rPr>
                <w:rFonts w:ascii="Calibri" w:cs="Calibri" w:eastAsia="Calibri" w:hAnsi="Calibri"/>
                <w:b/>
                <w:bCs/>
                <w:i w:val="false"/>
                <w:iCs w:val="false"/>
                <w:sz w:val="19"/>
                <w:szCs w:val="19"/>
              </w:rPr>
              <w:t xml:space="preserve">receptor</w:t>
            </w:r>
            <w:r>
              <w:rPr>
                <w:rFonts w:ascii="Calibri" w:cs="Calibri" w:eastAsia="Calibri" w:hAnsi="Calibri"/>
                <w:b w:val="false"/>
                <w:bCs w:val="false"/>
                <w:i w:val="false"/>
                <w:iCs w:val="false"/>
                <w:sz w:val="19"/>
                <w:szCs w:val="19"/>
              </w:rPr>
              <w:t xml:space="preserve"> (para medir el KPI de Dirección).</w:t>
            </w:r>
          </w:p>
        </w:tc>
      </w:tr>
    </w:tbl>
    <w:p>
      <w:pPr>
        <w:pStyle w:val="Heading2"/>
        <w:spacing w:after="120" w:before="260"/>
      </w:pPr>
      <w:r>
        <w:rPr>
          <w:rFonts w:ascii="Calibri" w:cs="Calibri" w:eastAsia="Calibri" w:hAnsi="Calibri"/>
          <w:b/>
          <w:bCs/>
          <w:color w:val="2E74B5"/>
          <w:sz w:val="24"/>
          <w:szCs w:val="24"/>
        </w:rPr>
        <w:t xml:space="preserve">14.2. Funcionalidades por versión</w:t>
      </w:r>
    </w:p>
    <w:p>
      <w:pPr>
        <w:pStyle w:val="Heading3"/>
        <w:spacing w:after="100" w:before="200"/>
      </w:pPr>
      <w:r>
        <w:rPr>
          <w:rFonts w:ascii="Calibri" w:cs="Calibri" w:eastAsia="Calibri" w:hAnsi="Calibri"/>
          <w:b/>
          <w:bCs/>
          <w:color w:val="262626"/>
          <w:sz w:val="22"/>
          <w:szCs w:val="22"/>
        </w:rPr>
        <w:t xml:space="preserve">Versión 1 — lo que resuelve el problema de hoy</w:t>
      </w:r>
    </w:p>
    <w:p>
      <w:pPr>
        <w:pStyle w:val="ListParagraph"/>
        <w:numPr>
          <w:ilvl w:val="0"/>
          <w:numId w:val="3"/>
        </w:numPr>
        <w:spacing w:after="70" w:line="264"/>
        <w:jc w:val="both"/>
      </w:pPr>
      <w:r>
        <w:rPr>
          <w:rFonts w:ascii="Calibri" w:cs="Calibri" w:eastAsia="Calibri" w:hAnsi="Calibri"/>
          <w:b w:val="false"/>
          <w:bCs w:val="false"/>
          <w:i w:val="false"/>
          <w:iCs w:val="false"/>
          <w:sz w:val="21"/>
          <w:szCs w:val="21"/>
        </w:rPr>
        <w:t xml:space="preserve">Aging automático de proveedores y clientes, por tramos.</w:t>
      </w:r>
    </w:p>
    <w:p>
      <w:pPr>
        <w:pStyle w:val="ListParagraph"/>
        <w:numPr>
          <w:ilvl w:val="0"/>
          <w:numId w:val="3"/>
        </w:numPr>
        <w:spacing w:after="70" w:line="264"/>
        <w:jc w:val="both"/>
      </w:pPr>
      <w:r>
        <w:rPr>
          <w:rFonts w:ascii="Calibri" w:cs="Calibri" w:eastAsia="Calibri" w:hAnsi="Calibri"/>
          <w:b w:val="false"/>
          <w:bCs w:val="false"/>
          <w:i w:val="false"/>
          <w:iCs w:val="false"/>
          <w:sz w:val="21"/>
          <w:szCs w:val="21"/>
        </w:rPr>
        <w:t xml:space="preserve">Proyección de tesorería a 13 semanas, rodante, con los tres escenarios.</w:t>
      </w:r>
    </w:p>
    <w:p>
      <w:pPr>
        <w:pStyle w:val="ListParagraph"/>
        <w:numPr>
          <w:ilvl w:val="0"/>
          <w:numId w:val="3"/>
        </w:numPr>
        <w:spacing w:after="70" w:line="264"/>
        <w:jc w:val="both"/>
      </w:pPr>
      <w:r>
        <w:rPr>
          <w:rFonts w:ascii="Calibri" w:cs="Calibri" w:eastAsia="Calibri" w:hAnsi="Calibri"/>
          <w:b/>
          <w:bCs/>
          <w:i w:val="false"/>
          <w:iCs w:val="false"/>
          <w:sz w:val="21"/>
          <w:szCs w:val="21"/>
        </w:rPr>
        <w:t xml:space="preserve">Propuesta automática de la lista de pagos semanal</w:t>
      </w:r>
      <w:r>
        <w:rPr>
          <w:rFonts w:ascii="Calibri" w:cs="Calibri" w:eastAsia="Calibri" w:hAnsi="Calibri"/>
          <w:b w:val="false"/>
          <w:bCs w:val="false"/>
          <w:i w:val="false"/>
          <w:iCs w:val="false"/>
          <w:sz w:val="21"/>
          <w:szCs w:val="21"/>
        </w:rPr>
        <w:t xml:space="preserve"> aplicando las reglas de prelación y el colchón mínimo, para que Dirección solo apruebe.</w:t>
      </w:r>
    </w:p>
    <w:p>
      <w:pPr>
        <w:pStyle w:val="ListParagraph"/>
        <w:numPr>
          <w:ilvl w:val="0"/>
          <w:numId w:val="3"/>
        </w:numPr>
        <w:spacing w:after="70" w:line="264"/>
        <w:jc w:val="both"/>
      </w:pPr>
      <w:r>
        <w:rPr>
          <w:rFonts w:ascii="Calibri" w:cs="Calibri" w:eastAsia="Calibri" w:hAnsi="Calibri"/>
          <w:b w:val="false"/>
          <w:bCs w:val="false"/>
          <w:i w:val="false"/>
          <w:iCs w:val="false"/>
          <w:sz w:val="21"/>
          <w:szCs w:val="21"/>
        </w:rPr>
        <w:t xml:space="preserve">Alertas: vencimientos de proveedores críticos, cuotas de acuerdos en riesgo, caja proyectada por debajo del colchón, plazos fiscales que caducan.</w:t>
      </w:r>
    </w:p>
    <w:p>
      <w:pPr>
        <w:pStyle w:val="ListParagraph"/>
        <w:numPr>
          <w:ilvl w:val="0"/>
          <w:numId w:val="3"/>
        </w:numPr>
        <w:spacing w:after="70" w:line="264"/>
        <w:jc w:val="both"/>
      </w:pPr>
      <w:r>
        <w:rPr>
          <w:rFonts w:ascii="Calibri" w:cs="Calibri" w:eastAsia="Calibri" w:hAnsi="Calibri"/>
          <w:b w:val="false"/>
          <w:bCs w:val="false"/>
          <w:i w:val="false"/>
          <w:iCs w:val="false"/>
          <w:sz w:val="21"/>
          <w:szCs w:val="21"/>
        </w:rPr>
        <w:t xml:space="preserve">Registro de acuerdos y de reclamaciones, con trazabilidad.</w:t>
      </w:r>
    </w:p>
    <w:p>
      <w:pPr>
        <w:pStyle w:val="Heading3"/>
        <w:spacing w:after="100" w:before="200"/>
      </w:pPr>
      <w:r>
        <w:rPr>
          <w:rFonts w:ascii="Calibri" w:cs="Calibri" w:eastAsia="Calibri" w:hAnsi="Calibri"/>
          <w:b/>
          <w:bCs/>
          <w:color w:val="262626"/>
          <w:sz w:val="22"/>
          <w:szCs w:val="22"/>
        </w:rPr>
        <w:t xml:space="preserve">Versión 2 — cuando lo anterior esté rodado</w:t>
      </w:r>
    </w:p>
    <w:p>
      <w:pPr>
        <w:pStyle w:val="ListParagraph"/>
        <w:numPr>
          <w:ilvl w:val="0"/>
          <w:numId w:val="3"/>
        </w:numPr>
        <w:spacing w:after="70" w:line="264"/>
        <w:jc w:val="both"/>
      </w:pPr>
      <w:r>
        <w:rPr>
          <w:rFonts w:ascii="Calibri" w:cs="Calibri" w:eastAsia="Calibri" w:hAnsi="Calibri"/>
          <w:b w:val="false"/>
          <w:bCs w:val="false"/>
          <w:i w:val="false"/>
          <w:iCs w:val="false"/>
          <w:sz w:val="21"/>
          <w:szCs w:val="21"/>
        </w:rPr>
        <w:t xml:space="preserve">Conciliación bancaria automática (ficheros Norma 43 o agregación vía PSD2).</w:t>
      </w:r>
    </w:p>
    <w:p>
      <w:pPr>
        <w:pStyle w:val="ListParagraph"/>
        <w:numPr>
          <w:ilvl w:val="0"/>
          <w:numId w:val="3"/>
        </w:numPr>
        <w:spacing w:after="70" w:line="264"/>
        <w:jc w:val="both"/>
      </w:pPr>
      <w:r>
        <w:rPr>
          <w:rFonts w:ascii="Calibri" w:cs="Calibri" w:eastAsia="Calibri" w:hAnsi="Calibri"/>
          <w:b w:val="false"/>
          <w:bCs w:val="false"/>
          <w:i w:val="false"/>
          <w:iCs w:val="false"/>
          <w:sz w:val="21"/>
          <w:szCs w:val="21"/>
        </w:rPr>
        <w:t xml:space="preserve">Lectura automática de facturas de proveedor (OCR) y captura de los repostajes.</w:t>
      </w:r>
    </w:p>
    <w:p>
      <w:pPr>
        <w:pStyle w:val="ListParagraph"/>
        <w:numPr>
          <w:ilvl w:val="0"/>
          <w:numId w:val="3"/>
        </w:numPr>
        <w:spacing w:after="70" w:line="264"/>
        <w:jc w:val="both"/>
      </w:pPr>
      <w:r>
        <w:rPr>
          <w:rFonts w:ascii="Calibri" w:cs="Calibri" w:eastAsia="Calibri" w:hAnsi="Calibri"/>
          <w:b w:val="false"/>
          <w:bCs w:val="false"/>
          <w:i w:val="false"/>
          <w:iCs w:val="false"/>
          <w:sz w:val="21"/>
          <w:szCs w:val="21"/>
        </w:rPr>
        <w:t xml:space="preserve">Cálculo de coste por kilómetro y margen por ruta, cliente y vehículo.</w:t>
      </w:r>
    </w:p>
    <w:p>
      <w:pPr>
        <w:pStyle w:val="ListParagraph"/>
        <w:numPr>
          <w:ilvl w:val="0"/>
          <w:numId w:val="3"/>
        </w:numPr>
        <w:spacing w:after="70" w:line="264"/>
        <w:jc w:val="both"/>
      </w:pPr>
      <w:r>
        <w:rPr>
          <w:rFonts w:ascii="Calibri" w:cs="Calibri" w:eastAsia="Calibri" w:hAnsi="Calibri"/>
          <w:b w:val="false"/>
          <w:bCs w:val="false"/>
          <w:i w:val="false"/>
          <w:iCs w:val="false"/>
          <w:sz w:val="21"/>
          <w:szCs w:val="21"/>
        </w:rPr>
        <w:t xml:space="preserve">Recálculo automático del semáforo de criticidad según comportamiento y concentración.</w:t>
      </w:r>
    </w:p>
    <w:p>
      <w:pPr>
        <w:pStyle w:val="ListParagraph"/>
        <w:numPr>
          <w:ilvl w:val="0"/>
          <w:numId w:val="3"/>
        </w:numPr>
        <w:spacing w:after="70" w:line="264"/>
        <w:jc w:val="both"/>
      </w:pPr>
      <w:r>
        <w:rPr>
          <w:rFonts w:ascii="Calibri" w:cs="Calibri" w:eastAsia="Calibri" w:hAnsi="Calibri"/>
          <w:b w:val="false"/>
          <w:bCs w:val="false"/>
          <w:i w:val="false"/>
          <w:iCs w:val="false"/>
          <w:sz w:val="21"/>
          <w:szCs w:val="21"/>
        </w:rPr>
        <w:t xml:space="preserve">Control de la cláusula de revisión del gasóleo: aviso si una factura sale sin aplicarla.</w:t>
      </w:r>
    </w:p>
    <w:tbl>
      <w:tblPr>
        <w:tblW w:type="dxa" w:w="9600"/>
        <w:tblBorders>
          <w:top w:val="single" w:color="DEEAF6" w:sz="2"/>
          <w:left w:val="single" w:color="2E74B5" w:sz="18"/>
          <w:bottom w:val="single" w:color="DEEAF6" w:sz="2"/>
          <w:right w:val="single" w:color="DEEAF6" w:sz="2"/>
          <w:insideH w:val="none"/>
          <w:insideV w:val="none"/>
        </w:tblBorders>
      </w:tblPr>
      <w:tblGrid>
        <w:gridCol w:w="9600"/>
      </w:tblGrid>
      <w:tr>
        <w:tc>
          <w:tcPr>
            <w:tcW w:type="dxa" w:w="9600"/>
            <w:shd w:fill="DEEAF6" w:color="auto" w:val="clear"/>
            <w:tcMar>
              <w:top w:type="dxa" w:w="140"/>
              <w:left w:type="dxa" w:w="200"/>
              <w:bottom w:type="dxa" w:w="140"/>
              <w:right w:type="dxa" w:w="200"/>
            </w:tcMar>
          </w:tcPr>
          <w:p>
            <w:pPr>
              <w:spacing w:after="80" w:before="40"/>
            </w:pPr>
            <w:r>
              <w:rPr>
                <w:rFonts w:ascii="Calibri" w:cs="Calibri" w:eastAsia="Calibri" w:hAnsi="Calibri"/>
                <w:b/>
                <w:bCs/>
                <w:i w:val="false"/>
                <w:iCs w:val="false"/>
                <w:color w:val="1F3864"/>
                <w:sz w:val="21"/>
                <w:szCs w:val="21"/>
              </w:rPr>
              <w:t xml:space="preserve">Principio de diseño</w:t>
            </w:r>
          </w:p>
          <w:p>
            <w:pPr>
              <w:spacing w:after="60" w:line="252"/>
              <w:jc w:val="both"/>
            </w:pPr>
            <w:r>
              <w:rPr>
                <w:rFonts w:ascii="Calibri" w:cs="Calibri" w:eastAsia="Calibri" w:hAnsi="Calibri"/>
                <w:b/>
                <w:bCs/>
                <w:i w:val="false"/>
                <w:iCs w:val="false"/>
                <w:sz w:val="20"/>
                <w:szCs w:val="20"/>
              </w:rPr>
              <w:t xml:space="preserve">El sistema propone; la Dirección aprueba.</w:t>
            </w:r>
            <w:r>
              <w:rPr>
                <w:rFonts w:ascii="Calibri" w:cs="Calibri" w:eastAsia="Calibri" w:hAnsi="Calibri"/>
                <w:b w:val="false"/>
                <w:bCs w:val="false"/>
                <w:i w:val="false"/>
                <w:iCs w:val="false"/>
                <w:sz w:val="20"/>
                <w:szCs w:val="20"/>
              </w:rPr>
              <w:t xml:space="preserve"> Nunca al revés. Cada pago debe poder explicarse con la regla que lo generó, y cada decisión debe quedar registrada con su fecha y su responsable. Esa trazabilidad es lo que permite responder a cualquier proveedor —y, llegado el caso, a cualquier tercero— sin depender de la memoria de nadie.</w:t>
            </w:r>
          </w:p>
        </w:tc>
      </w:tr>
    </w:tbl>
    <w:p>
      <w:pPr>
        <w:pStyle w:val="Heading1"/>
        <w:pageBreakBefore/>
        <w:pBdr>
          <w:bottom w:val="single" w:color="2E74B5" w:sz="8" w:space="6"/>
        </w:pBdr>
        <w:spacing w:after="180" w:before="240"/>
      </w:pPr>
      <w:r>
        <w:rPr>
          <w:rFonts w:ascii="Calibri" w:cs="Calibri" w:eastAsia="Calibri" w:hAnsi="Calibri"/>
          <w:b/>
          <w:bCs/>
          <w:color w:val="1F3864"/>
          <w:sz w:val="30"/>
          <w:szCs w:val="30"/>
        </w:rPr>
        <w:t xml:space="preserve">Anexo A. Plantilla — Inventario de deuda con proveedores</w:t>
      </w:r>
    </w:p>
    <w:p>
      <w:pPr>
        <w:spacing w:after="120" w:line="264"/>
        <w:jc w:val="both"/>
      </w:pPr>
      <w:r>
        <w:rPr>
          <w:rFonts w:ascii="Calibri" w:cs="Calibri" w:eastAsia="Calibri" w:hAnsi="Calibri"/>
          <w:b w:val="false"/>
          <w:bCs w:val="false"/>
          <w:i w:val="false"/>
          <w:iCs w:val="false"/>
          <w:sz w:val="21"/>
          <w:szCs w:val="21"/>
        </w:rPr>
        <w:t xml:space="preserve">Una línea por factura. Se ordena por nivel de prelación y, dentro de cada nivel, por días de retraso.</w:t>
      </w:r>
    </w:p>
    <w:tbl>
      <w:tblPr>
        <w:tblW w:type="dxa" w:w="9600"/>
        <w:tblBorders>
          <w:top w:val="single" w:color="BFBFBF" w:sz="4"/>
          <w:left w:val="single" w:color="BFBFBF" w:sz="4"/>
          <w:bottom w:val="single" w:color="BFBFBF" w:sz="4"/>
          <w:right w:val="single" w:color="BFBFBF" w:sz="4"/>
          <w:insideH w:val="single" w:color="D9D9D9" w:sz="2"/>
          <w:insideV w:val="single" w:color="D9D9D9" w:sz="2"/>
        </w:tblBorders>
      </w:tblPr>
      <w:tblGrid>
        <w:gridCol w:w="1700"/>
        <w:gridCol w:w="1100"/>
        <w:gridCol w:w="1200"/>
        <w:gridCol w:w="1300"/>
        <w:gridCol w:w="1000"/>
        <w:gridCol w:w="1000"/>
        <w:gridCol w:w="700"/>
        <w:gridCol w:w="1600"/>
      </w:tblGrid>
      <w:tr>
        <w:trPr>
          <w:tblHeader/>
        </w:trPr>
        <w:tc>
          <w:tcPr>
            <w:tcW w:type="dxa" w:w="1700"/>
            <w:shd w:fill="1F3864"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color w:val="FFFFFF"/>
                <w:sz w:val="19"/>
                <w:szCs w:val="19"/>
              </w:rPr>
              <w:t xml:space="preserve">Proveedor</w:t>
            </w:r>
          </w:p>
        </w:tc>
        <w:tc>
          <w:tcPr>
            <w:tcW w:type="dxa" w:w="1100"/>
            <w:shd w:fill="1F3864"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color w:val="FFFFFF"/>
                <w:sz w:val="19"/>
                <w:szCs w:val="19"/>
              </w:rPr>
              <w:t xml:space="preserve">Nº factura</w:t>
            </w:r>
          </w:p>
        </w:tc>
        <w:tc>
          <w:tcPr>
            <w:tcW w:type="dxa" w:w="1200"/>
            <w:shd w:fill="1F3864"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color w:val="FFFFFF"/>
                <w:sz w:val="19"/>
                <w:szCs w:val="19"/>
              </w:rPr>
              <w:t xml:space="preserve">Vencimiento</w:t>
            </w:r>
          </w:p>
        </w:tc>
        <w:tc>
          <w:tcPr>
            <w:tcW w:type="dxa" w:w="1300"/>
            <w:shd w:fill="1F3864"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color w:val="FFFFFF"/>
                <w:sz w:val="19"/>
                <w:szCs w:val="19"/>
              </w:rPr>
              <w:t xml:space="preserve">Importe pendiente</w:t>
            </w:r>
          </w:p>
        </w:tc>
        <w:tc>
          <w:tcPr>
            <w:tcW w:type="dxa" w:w="1000"/>
            <w:shd w:fill="1F3864"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color w:val="FFFFFF"/>
                <w:sz w:val="19"/>
                <w:szCs w:val="19"/>
              </w:rPr>
              <w:t xml:space="preserve">Días retraso</w:t>
            </w:r>
          </w:p>
        </w:tc>
        <w:tc>
          <w:tcPr>
            <w:tcW w:type="dxa" w:w="1000"/>
            <w:shd w:fill="1F3864"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color w:val="FFFFFF"/>
                <w:sz w:val="19"/>
                <w:szCs w:val="19"/>
              </w:rPr>
              <w:t xml:space="preserve">Semáforo</w:t>
            </w:r>
          </w:p>
        </w:tc>
        <w:tc>
          <w:tcPr>
            <w:tcW w:type="dxa" w:w="700"/>
            <w:shd w:fill="1F3864"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color w:val="FFFFFF"/>
                <w:sz w:val="19"/>
                <w:szCs w:val="19"/>
              </w:rPr>
              <w:t xml:space="preserve">Nivel</w:t>
            </w:r>
          </w:p>
        </w:tc>
        <w:tc>
          <w:tcPr>
            <w:tcW w:type="dxa" w:w="1600"/>
            <w:shd w:fill="1F3864"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color w:val="FFFFFF"/>
                <w:sz w:val="19"/>
                <w:szCs w:val="19"/>
              </w:rPr>
              <w:t xml:space="preserve">Acuerdo / estado</w:t>
            </w:r>
          </w:p>
        </w:tc>
      </w:tr>
      <w:tr>
        <w:tc>
          <w:tcPr>
            <w:tcW w:type="dxa" w:w="1700"/>
            <w:tcMar>
              <w:top w:type="dxa" w:w="60"/>
              <w:left w:type="dxa" w:w="90"/>
              <w:bottom w:type="dxa" w:w="60"/>
              <w:right w:type="dxa" w:w="90"/>
            </w:tcMar>
            <w:vAlign w:val="center"/>
          </w:tcPr>
          <w:p>
            <w:pPr>
              <w:spacing w:after="40" w:before="40" w:line="240"/>
              <w:jc w:val="left"/>
            </w:pPr>
          </w:p>
        </w:tc>
        <w:tc>
          <w:tcPr>
            <w:tcW w:type="dxa" w:w="1100"/>
            <w:tcMar>
              <w:top w:type="dxa" w:w="60"/>
              <w:left w:type="dxa" w:w="90"/>
              <w:bottom w:type="dxa" w:w="60"/>
              <w:right w:type="dxa" w:w="90"/>
            </w:tcMar>
            <w:vAlign w:val="center"/>
          </w:tcPr>
          <w:p>
            <w:pPr>
              <w:spacing w:after="40" w:before="40" w:line="240"/>
              <w:jc w:val="left"/>
            </w:pPr>
          </w:p>
        </w:tc>
        <w:tc>
          <w:tcPr>
            <w:tcW w:type="dxa" w:w="1200"/>
            <w:tcMar>
              <w:top w:type="dxa" w:w="60"/>
              <w:left w:type="dxa" w:w="90"/>
              <w:bottom w:type="dxa" w:w="60"/>
              <w:right w:type="dxa" w:w="90"/>
            </w:tcMar>
            <w:vAlign w:val="center"/>
          </w:tcPr>
          <w:p>
            <w:pPr>
              <w:spacing w:after="40" w:before="40" w:line="240"/>
              <w:jc w:val="left"/>
            </w:pPr>
          </w:p>
        </w:tc>
        <w:tc>
          <w:tcPr>
            <w:tcW w:type="dxa" w:w="1300"/>
            <w:tcMar>
              <w:top w:type="dxa" w:w="60"/>
              <w:left w:type="dxa" w:w="90"/>
              <w:bottom w:type="dxa" w:w="60"/>
              <w:right w:type="dxa" w:w="90"/>
            </w:tcMar>
            <w:vAlign w:val="center"/>
          </w:tcPr>
          <w:p>
            <w:pPr>
              <w:spacing w:after="40" w:before="40" w:line="240"/>
              <w:jc w:val="left"/>
            </w:pPr>
          </w:p>
        </w:tc>
        <w:tc>
          <w:tcPr>
            <w:tcW w:type="dxa" w:w="1000"/>
            <w:tcMar>
              <w:top w:type="dxa" w:w="60"/>
              <w:left w:type="dxa" w:w="90"/>
              <w:bottom w:type="dxa" w:w="60"/>
              <w:right w:type="dxa" w:w="90"/>
            </w:tcMar>
            <w:vAlign w:val="center"/>
          </w:tcPr>
          <w:p>
            <w:pPr>
              <w:spacing w:after="40" w:before="40" w:line="240"/>
              <w:jc w:val="left"/>
            </w:pPr>
          </w:p>
        </w:tc>
        <w:tc>
          <w:tcPr>
            <w:tcW w:type="dxa" w:w="1000"/>
            <w:tcMar>
              <w:top w:type="dxa" w:w="60"/>
              <w:left w:type="dxa" w:w="90"/>
              <w:bottom w:type="dxa" w:w="60"/>
              <w:right w:type="dxa" w:w="90"/>
            </w:tcMar>
            <w:vAlign w:val="center"/>
          </w:tcPr>
          <w:p>
            <w:pPr>
              <w:spacing w:after="40" w:before="40" w:line="240"/>
              <w:jc w:val="left"/>
            </w:pPr>
          </w:p>
        </w:tc>
        <w:tc>
          <w:tcPr>
            <w:tcW w:type="dxa" w:w="700"/>
            <w:tcMar>
              <w:top w:type="dxa" w:w="60"/>
              <w:left w:type="dxa" w:w="90"/>
              <w:bottom w:type="dxa" w:w="60"/>
              <w:right w:type="dxa" w:w="90"/>
            </w:tcMar>
            <w:vAlign w:val="center"/>
          </w:tcPr>
          <w:p>
            <w:pPr>
              <w:spacing w:after="40" w:before="40" w:line="240"/>
              <w:jc w:val="left"/>
            </w:pPr>
          </w:p>
        </w:tc>
        <w:tc>
          <w:tcPr>
            <w:tcW w:type="dxa" w:w="1600"/>
            <w:tcMar>
              <w:top w:type="dxa" w:w="60"/>
              <w:left w:type="dxa" w:w="90"/>
              <w:bottom w:type="dxa" w:w="60"/>
              <w:right w:type="dxa" w:w="90"/>
            </w:tcMar>
            <w:vAlign w:val="center"/>
          </w:tcPr>
          <w:p>
            <w:pPr>
              <w:spacing w:after="40" w:before="40" w:line="240"/>
              <w:jc w:val="left"/>
            </w:pPr>
          </w:p>
        </w:tc>
      </w:tr>
      <w:tr>
        <w:tc>
          <w:tcPr>
            <w:tcW w:type="dxa" w:w="1700"/>
            <w:shd w:fill="F2F2F2" w:color="auto" w:val="clear"/>
            <w:tcMar>
              <w:top w:type="dxa" w:w="60"/>
              <w:left w:type="dxa" w:w="90"/>
              <w:bottom w:type="dxa" w:w="60"/>
              <w:right w:type="dxa" w:w="90"/>
            </w:tcMar>
            <w:vAlign w:val="center"/>
          </w:tcPr>
          <w:p>
            <w:pPr>
              <w:spacing w:after="40" w:before="40" w:line="240"/>
              <w:jc w:val="left"/>
            </w:pPr>
          </w:p>
        </w:tc>
        <w:tc>
          <w:tcPr>
            <w:tcW w:type="dxa" w:w="1100"/>
            <w:shd w:fill="F2F2F2" w:color="auto" w:val="clear"/>
            <w:tcMar>
              <w:top w:type="dxa" w:w="60"/>
              <w:left w:type="dxa" w:w="90"/>
              <w:bottom w:type="dxa" w:w="60"/>
              <w:right w:type="dxa" w:w="90"/>
            </w:tcMar>
            <w:vAlign w:val="center"/>
          </w:tcPr>
          <w:p>
            <w:pPr>
              <w:spacing w:after="40" w:before="40" w:line="240"/>
              <w:jc w:val="left"/>
            </w:pPr>
          </w:p>
        </w:tc>
        <w:tc>
          <w:tcPr>
            <w:tcW w:type="dxa" w:w="1200"/>
            <w:shd w:fill="F2F2F2" w:color="auto" w:val="clear"/>
            <w:tcMar>
              <w:top w:type="dxa" w:w="60"/>
              <w:left w:type="dxa" w:w="90"/>
              <w:bottom w:type="dxa" w:w="60"/>
              <w:right w:type="dxa" w:w="90"/>
            </w:tcMar>
            <w:vAlign w:val="center"/>
          </w:tcPr>
          <w:p>
            <w:pPr>
              <w:spacing w:after="40" w:before="40" w:line="240"/>
              <w:jc w:val="left"/>
            </w:pPr>
          </w:p>
        </w:tc>
        <w:tc>
          <w:tcPr>
            <w:tcW w:type="dxa" w:w="1300"/>
            <w:shd w:fill="F2F2F2" w:color="auto" w:val="clear"/>
            <w:tcMar>
              <w:top w:type="dxa" w:w="60"/>
              <w:left w:type="dxa" w:w="90"/>
              <w:bottom w:type="dxa" w:w="60"/>
              <w:right w:type="dxa" w:w="90"/>
            </w:tcMar>
            <w:vAlign w:val="center"/>
          </w:tcPr>
          <w:p>
            <w:pPr>
              <w:spacing w:after="40" w:before="40" w:line="240"/>
              <w:jc w:val="left"/>
            </w:pPr>
          </w:p>
        </w:tc>
        <w:tc>
          <w:tcPr>
            <w:tcW w:type="dxa" w:w="1000"/>
            <w:shd w:fill="F2F2F2" w:color="auto" w:val="clear"/>
            <w:tcMar>
              <w:top w:type="dxa" w:w="60"/>
              <w:left w:type="dxa" w:w="90"/>
              <w:bottom w:type="dxa" w:w="60"/>
              <w:right w:type="dxa" w:w="90"/>
            </w:tcMar>
            <w:vAlign w:val="center"/>
          </w:tcPr>
          <w:p>
            <w:pPr>
              <w:spacing w:after="40" w:before="40" w:line="240"/>
              <w:jc w:val="left"/>
            </w:pPr>
          </w:p>
        </w:tc>
        <w:tc>
          <w:tcPr>
            <w:tcW w:type="dxa" w:w="1000"/>
            <w:shd w:fill="F2F2F2" w:color="auto" w:val="clear"/>
            <w:tcMar>
              <w:top w:type="dxa" w:w="60"/>
              <w:left w:type="dxa" w:w="90"/>
              <w:bottom w:type="dxa" w:w="60"/>
              <w:right w:type="dxa" w:w="90"/>
            </w:tcMar>
            <w:vAlign w:val="center"/>
          </w:tcPr>
          <w:p>
            <w:pPr>
              <w:spacing w:after="40" w:before="40" w:line="240"/>
              <w:jc w:val="left"/>
            </w:pPr>
          </w:p>
        </w:tc>
        <w:tc>
          <w:tcPr>
            <w:tcW w:type="dxa" w:w="700"/>
            <w:shd w:fill="F2F2F2" w:color="auto" w:val="clear"/>
            <w:tcMar>
              <w:top w:type="dxa" w:w="60"/>
              <w:left w:type="dxa" w:w="90"/>
              <w:bottom w:type="dxa" w:w="60"/>
              <w:right w:type="dxa" w:w="90"/>
            </w:tcMar>
            <w:vAlign w:val="center"/>
          </w:tcPr>
          <w:p>
            <w:pPr>
              <w:spacing w:after="40" w:before="40" w:line="240"/>
              <w:jc w:val="left"/>
            </w:pPr>
          </w:p>
        </w:tc>
        <w:tc>
          <w:tcPr>
            <w:tcW w:type="dxa" w:w="1600"/>
            <w:shd w:fill="F2F2F2" w:color="auto" w:val="clear"/>
            <w:tcMar>
              <w:top w:type="dxa" w:w="60"/>
              <w:left w:type="dxa" w:w="90"/>
              <w:bottom w:type="dxa" w:w="60"/>
              <w:right w:type="dxa" w:w="90"/>
            </w:tcMar>
            <w:vAlign w:val="center"/>
          </w:tcPr>
          <w:p>
            <w:pPr>
              <w:spacing w:after="40" w:before="40" w:line="240"/>
              <w:jc w:val="left"/>
            </w:pPr>
          </w:p>
        </w:tc>
      </w:tr>
      <w:tr>
        <w:tc>
          <w:tcPr>
            <w:tcW w:type="dxa" w:w="1700"/>
            <w:tcMar>
              <w:top w:type="dxa" w:w="60"/>
              <w:left w:type="dxa" w:w="90"/>
              <w:bottom w:type="dxa" w:w="60"/>
              <w:right w:type="dxa" w:w="90"/>
            </w:tcMar>
            <w:vAlign w:val="center"/>
          </w:tcPr>
          <w:p>
            <w:pPr>
              <w:spacing w:after="40" w:before="40" w:line="240"/>
              <w:jc w:val="left"/>
            </w:pPr>
          </w:p>
        </w:tc>
        <w:tc>
          <w:tcPr>
            <w:tcW w:type="dxa" w:w="1100"/>
            <w:tcMar>
              <w:top w:type="dxa" w:w="60"/>
              <w:left w:type="dxa" w:w="90"/>
              <w:bottom w:type="dxa" w:w="60"/>
              <w:right w:type="dxa" w:w="90"/>
            </w:tcMar>
            <w:vAlign w:val="center"/>
          </w:tcPr>
          <w:p>
            <w:pPr>
              <w:spacing w:after="40" w:before="40" w:line="240"/>
              <w:jc w:val="left"/>
            </w:pPr>
          </w:p>
        </w:tc>
        <w:tc>
          <w:tcPr>
            <w:tcW w:type="dxa" w:w="1200"/>
            <w:tcMar>
              <w:top w:type="dxa" w:w="60"/>
              <w:left w:type="dxa" w:w="90"/>
              <w:bottom w:type="dxa" w:w="60"/>
              <w:right w:type="dxa" w:w="90"/>
            </w:tcMar>
            <w:vAlign w:val="center"/>
          </w:tcPr>
          <w:p>
            <w:pPr>
              <w:spacing w:after="40" w:before="40" w:line="240"/>
              <w:jc w:val="left"/>
            </w:pPr>
          </w:p>
        </w:tc>
        <w:tc>
          <w:tcPr>
            <w:tcW w:type="dxa" w:w="1300"/>
            <w:tcMar>
              <w:top w:type="dxa" w:w="60"/>
              <w:left w:type="dxa" w:w="90"/>
              <w:bottom w:type="dxa" w:w="60"/>
              <w:right w:type="dxa" w:w="90"/>
            </w:tcMar>
            <w:vAlign w:val="center"/>
          </w:tcPr>
          <w:p>
            <w:pPr>
              <w:spacing w:after="40" w:before="40" w:line="240"/>
              <w:jc w:val="left"/>
            </w:pPr>
          </w:p>
        </w:tc>
        <w:tc>
          <w:tcPr>
            <w:tcW w:type="dxa" w:w="1000"/>
            <w:tcMar>
              <w:top w:type="dxa" w:w="60"/>
              <w:left w:type="dxa" w:w="90"/>
              <w:bottom w:type="dxa" w:w="60"/>
              <w:right w:type="dxa" w:w="90"/>
            </w:tcMar>
            <w:vAlign w:val="center"/>
          </w:tcPr>
          <w:p>
            <w:pPr>
              <w:spacing w:after="40" w:before="40" w:line="240"/>
              <w:jc w:val="left"/>
            </w:pPr>
          </w:p>
        </w:tc>
        <w:tc>
          <w:tcPr>
            <w:tcW w:type="dxa" w:w="1000"/>
            <w:tcMar>
              <w:top w:type="dxa" w:w="60"/>
              <w:left w:type="dxa" w:w="90"/>
              <w:bottom w:type="dxa" w:w="60"/>
              <w:right w:type="dxa" w:w="90"/>
            </w:tcMar>
            <w:vAlign w:val="center"/>
          </w:tcPr>
          <w:p>
            <w:pPr>
              <w:spacing w:after="40" w:before="40" w:line="240"/>
              <w:jc w:val="left"/>
            </w:pPr>
          </w:p>
        </w:tc>
        <w:tc>
          <w:tcPr>
            <w:tcW w:type="dxa" w:w="700"/>
            <w:tcMar>
              <w:top w:type="dxa" w:w="60"/>
              <w:left w:type="dxa" w:w="90"/>
              <w:bottom w:type="dxa" w:w="60"/>
              <w:right w:type="dxa" w:w="90"/>
            </w:tcMar>
            <w:vAlign w:val="center"/>
          </w:tcPr>
          <w:p>
            <w:pPr>
              <w:spacing w:after="40" w:before="40" w:line="240"/>
              <w:jc w:val="left"/>
            </w:pPr>
          </w:p>
        </w:tc>
        <w:tc>
          <w:tcPr>
            <w:tcW w:type="dxa" w:w="1600"/>
            <w:tcMar>
              <w:top w:type="dxa" w:w="60"/>
              <w:left w:type="dxa" w:w="90"/>
              <w:bottom w:type="dxa" w:w="60"/>
              <w:right w:type="dxa" w:w="90"/>
            </w:tcMar>
            <w:vAlign w:val="center"/>
          </w:tcPr>
          <w:p>
            <w:pPr>
              <w:spacing w:after="40" w:before="40" w:line="240"/>
              <w:jc w:val="left"/>
            </w:pPr>
          </w:p>
        </w:tc>
      </w:tr>
      <w:tr>
        <w:tc>
          <w:tcPr>
            <w:tcW w:type="dxa" w:w="1700"/>
            <w:shd w:fill="F2F2F2" w:color="auto" w:val="clear"/>
            <w:tcMar>
              <w:top w:type="dxa" w:w="60"/>
              <w:left w:type="dxa" w:w="90"/>
              <w:bottom w:type="dxa" w:w="60"/>
              <w:right w:type="dxa" w:w="90"/>
            </w:tcMar>
            <w:vAlign w:val="center"/>
          </w:tcPr>
          <w:p>
            <w:pPr>
              <w:spacing w:after="40" w:before="40" w:line="240"/>
              <w:jc w:val="left"/>
            </w:pPr>
          </w:p>
        </w:tc>
        <w:tc>
          <w:tcPr>
            <w:tcW w:type="dxa" w:w="1100"/>
            <w:shd w:fill="F2F2F2" w:color="auto" w:val="clear"/>
            <w:tcMar>
              <w:top w:type="dxa" w:w="60"/>
              <w:left w:type="dxa" w:w="90"/>
              <w:bottom w:type="dxa" w:w="60"/>
              <w:right w:type="dxa" w:w="90"/>
            </w:tcMar>
            <w:vAlign w:val="center"/>
          </w:tcPr>
          <w:p>
            <w:pPr>
              <w:spacing w:after="40" w:before="40" w:line="240"/>
              <w:jc w:val="left"/>
            </w:pPr>
          </w:p>
        </w:tc>
        <w:tc>
          <w:tcPr>
            <w:tcW w:type="dxa" w:w="1200"/>
            <w:shd w:fill="F2F2F2" w:color="auto" w:val="clear"/>
            <w:tcMar>
              <w:top w:type="dxa" w:w="60"/>
              <w:left w:type="dxa" w:w="90"/>
              <w:bottom w:type="dxa" w:w="60"/>
              <w:right w:type="dxa" w:w="90"/>
            </w:tcMar>
            <w:vAlign w:val="center"/>
          </w:tcPr>
          <w:p>
            <w:pPr>
              <w:spacing w:after="40" w:before="40" w:line="240"/>
              <w:jc w:val="left"/>
            </w:pPr>
          </w:p>
        </w:tc>
        <w:tc>
          <w:tcPr>
            <w:tcW w:type="dxa" w:w="1300"/>
            <w:shd w:fill="F2F2F2" w:color="auto" w:val="clear"/>
            <w:tcMar>
              <w:top w:type="dxa" w:w="60"/>
              <w:left w:type="dxa" w:w="90"/>
              <w:bottom w:type="dxa" w:w="60"/>
              <w:right w:type="dxa" w:w="90"/>
            </w:tcMar>
            <w:vAlign w:val="center"/>
          </w:tcPr>
          <w:p>
            <w:pPr>
              <w:spacing w:after="40" w:before="40" w:line="240"/>
              <w:jc w:val="left"/>
            </w:pPr>
          </w:p>
        </w:tc>
        <w:tc>
          <w:tcPr>
            <w:tcW w:type="dxa" w:w="1000"/>
            <w:shd w:fill="F2F2F2" w:color="auto" w:val="clear"/>
            <w:tcMar>
              <w:top w:type="dxa" w:w="60"/>
              <w:left w:type="dxa" w:w="90"/>
              <w:bottom w:type="dxa" w:w="60"/>
              <w:right w:type="dxa" w:w="90"/>
            </w:tcMar>
            <w:vAlign w:val="center"/>
          </w:tcPr>
          <w:p>
            <w:pPr>
              <w:spacing w:after="40" w:before="40" w:line="240"/>
              <w:jc w:val="left"/>
            </w:pPr>
          </w:p>
        </w:tc>
        <w:tc>
          <w:tcPr>
            <w:tcW w:type="dxa" w:w="1000"/>
            <w:shd w:fill="F2F2F2" w:color="auto" w:val="clear"/>
            <w:tcMar>
              <w:top w:type="dxa" w:w="60"/>
              <w:left w:type="dxa" w:w="90"/>
              <w:bottom w:type="dxa" w:w="60"/>
              <w:right w:type="dxa" w:w="90"/>
            </w:tcMar>
            <w:vAlign w:val="center"/>
          </w:tcPr>
          <w:p>
            <w:pPr>
              <w:spacing w:after="40" w:before="40" w:line="240"/>
              <w:jc w:val="left"/>
            </w:pPr>
          </w:p>
        </w:tc>
        <w:tc>
          <w:tcPr>
            <w:tcW w:type="dxa" w:w="700"/>
            <w:shd w:fill="F2F2F2" w:color="auto" w:val="clear"/>
            <w:tcMar>
              <w:top w:type="dxa" w:w="60"/>
              <w:left w:type="dxa" w:w="90"/>
              <w:bottom w:type="dxa" w:w="60"/>
              <w:right w:type="dxa" w:w="90"/>
            </w:tcMar>
            <w:vAlign w:val="center"/>
          </w:tcPr>
          <w:p>
            <w:pPr>
              <w:spacing w:after="40" w:before="40" w:line="240"/>
              <w:jc w:val="left"/>
            </w:pPr>
          </w:p>
        </w:tc>
        <w:tc>
          <w:tcPr>
            <w:tcW w:type="dxa" w:w="1600"/>
            <w:shd w:fill="F2F2F2" w:color="auto" w:val="clear"/>
            <w:tcMar>
              <w:top w:type="dxa" w:w="60"/>
              <w:left w:type="dxa" w:w="90"/>
              <w:bottom w:type="dxa" w:w="60"/>
              <w:right w:type="dxa" w:w="90"/>
            </w:tcMar>
            <w:vAlign w:val="center"/>
          </w:tcPr>
          <w:p>
            <w:pPr>
              <w:spacing w:after="40" w:before="40" w:line="240"/>
              <w:jc w:val="left"/>
            </w:pPr>
          </w:p>
        </w:tc>
      </w:tr>
      <w:tr>
        <w:tc>
          <w:tcPr>
            <w:tcW w:type="dxa" w:w="1700"/>
            <w:tcMar>
              <w:top w:type="dxa" w:w="60"/>
              <w:left w:type="dxa" w:w="90"/>
              <w:bottom w:type="dxa" w:w="60"/>
              <w:right w:type="dxa" w:w="90"/>
            </w:tcMar>
            <w:vAlign w:val="center"/>
          </w:tcPr>
          <w:p>
            <w:pPr>
              <w:spacing w:after="40" w:before="40" w:line="240"/>
              <w:jc w:val="left"/>
            </w:pPr>
          </w:p>
        </w:tc>
        <w:tc>
          <w:tcPr>
            <w:tcW w:type="dxa" w:w="1100"/>
            <w:tcMar>
              <w:top w:type="dxa" w:w="60"/>
              <w:left w:type="dxa" w:w="90"/>
              <w:bottom w:type="dxa" w:w="60"/>
              <w:right w:type="dxa" w:w="90"/>
            </w:tcMar>
            <w:vAlign w:val="center"/>
          </w:tcPr>
          <w:p>
            <w:pPr>
              <w:spacing w:after="40" w:before="40" w:line="240"/>
              <w:jc w:val="left"/>
            </w:pPr>
          </w:p>
        </w:tc>
        <w:tc>
          <w:tcPr>
            <w:tcW w:type="dxa" w:w="1200"/>
            <w:tcMar>
              <w:top w:type="dxa" w:w="60"/>
              <w:left w:type="dxa" w:w="90"/>
              <w:bottom w:type="dxa" w:w="60"/>
              <w:right w:type="dxa" w:w="90"/>
            </w:tcMar>
            <w:vAlign w:val="center"/>
          </w:tcPr>
          <w:p>
            <w:pPr>
              <w:spacing w:after="40" w:before="40" w:line="240"/>
              <w:jc w:val="left"/>
            </w:pPr>
          </w:p>
        </w:tc>
        <w:tc>
          <w:tcPr>
            <w:tcW w:type="dxa" w:w="1300"/>
            <w:tcMar>
              <w:top w:type="dxa" w:w="60"/>
              <w:left w:type="dxa" w:w="90"/>
              <w:bottom w:type="dxa" w:w="60"/>
              <w:right w:type="dxa" w:w="90"/>
            </w:tcMar>
            <w:vAlign w:val="center"/>
          </w:tcPr>
          <w:p>
            <w:pPr>
              <w:spacing w:after="40" w:before="40" w:line="240"/>
              <w:jc w:val="left"/>
            </w:pPr>
          </w:p>
        </w:tc>
        <w:tc>
          <w:tcPr>
            <w:tcW w:type="dxa" w:w="1000"/>
            <w:tcMar>
              <w:top w:type="dxa" w:w="60"/>
              <w:left w:type="dxa" w:w="90"/>
              <w:bottom w:type="dxa" w:w="60"/>
              <w:right w:type="dxa" w:w="90"/>
            </w:tcMar>
            <w:vAlign w:val="center"/>
          </w:tcPr>
          <w:p>
            <w:pPr>
              <w:spacing w:after="40" w:before="40" w:line="240"/>
              <w:jc w:val="left"/>
            </w:pPr>
          </w:p>
        </w:tc>
        <w:tc>
          <w:tcPr>
            <w:tcW w:type="dxa" w:w="1000"/>
            <w:tcMar>
              <w:top w:type="dxa" w:w="60"/>
              <w:left w:type="dxa" w:w="90"/>
              <w:bottom w:type="dxa" w:w="60"/>
              <w:right w:type="dxa" w:w="90"/>
            </w:tcMar>
            <w:vAlign w:val="center"/>
          </w:tcPr>
          <w:p>
            <w:pPr>
              <w:spacing w:after="40" w:before="40" w:line="240"/>
              <w:jc w:val="left"/>
            </w:pPr>
          </w:p>
        </w:tc>
        <w:tc>
          <w:tcPr>
            <w:tcW w:type="dxa" w:w="700"/>
            <w:tcMar>
              <w:top w:type="dxa" w:w="60"/>
              <w:left w:type="dxa" w:w="90"/>
              <w:bottom w:type="dxa" w:w="60"/>
              <w:right w:type="dxa" w:w="90"/>
            </w:tcMar>
            <w:vAlign w:val="center"/>
          </w:tcPr>
          <w:p>
            <w:pPr>
              <w:spacing w:after="40" w:before="40" w:line="240"/>
              <w:jc w:val="left"/>
            </w:pPr>
          </w:p>
        </w:tc>
        <w:tc>
          <w:tcPr>
            <w:tcW w:type="dxa" w:w="1600"/>
            <w:tcMar>
              <w:top w:type="dxa" w:w="60"/>
              <w:left w:type="dxa" w:w="90"/>
              <w:bottom w:type="dxa" w:w="60"/>
              <w:right w:type="dxa" w:w="90"/>
            </w:tcMar>
            <w:vAlign w:val="center"/>
          </w:tcPr>
          <w:p>
            <w:pPr>
              <w:spacing w:after="40" w:before="40" w:line="240"/>
              <w:jc w:val="left"/>
            </w:pPr>
          </w:p>
        </w:tc>
      </w:tr>
      <w:tr>
        <w:tc>
          <w:tcPr>
            <w:tcW w:type="dxa" w:w="1700"/>
            <w:shd w:fill="F2F2F2" w:color="auto" w:val="clear"/>
            <w:tcMar>
              <w:top w:type="dxa" w:w="60"/>
              <w:left w:type="dxa" w:w="90"/>
              <w:bottom w:type="dxa" w:w="60"/>
              <w:right w:type="dxa" w:w="90"/>
            </w:tcMar>
            <w:vAlign w:val="center"/>
          </w:tcPr>
          <w:p>
            <w:pPr>
              <w:spacing w:after="40" w:before="40" w:line="240"/>
              <w:jc w:val="left"/>
            </w:pPr>
          </w:p>
        </w:tc>
        <w:tc>
          <w:tcPr>
            <w:tcW w:type="dxa" w:w="1100"/>
            <w:shd w:fill="F2F2F2" w:color="auto" w:val="clear"/>
            <w:tcMar>
              <w:top w:type="dxa" w:w="60"/>
              <w:left w:type="dxa" w:w="90"/>
              <w:bottom w:type="dxa" w:w="60"/>
              <w:right w:type="dxa" w:w="90"/>
            </w:tcMar>
            <w:vAlign w:val="center"/>
          </w:tcPr>
          <w:p>
            <w:pPr>
              <w:spacing w:after="40" w:before="40" w:line="240"/>
              <w:jc w:val="left"/>
            </w:pPr>
          </w:p>
        </w:tc>
        <w:tc>
          <w:tcPr>
            <w:tcW w:type="dxa" w:w="1200"/>
            <w:shd w:fill="F2F2F2" w:color="auto" w:val="clear"/>
            <w:tcMar>
              <w:top w:type="dxa" w:w="60"/>
              <w:left w:type="dxa" w:w="90"/>
              <w:bottom w:type="dxa" w:w="60"/>
              <w:right w:type="dxa" w:w="90"/>
            </w:tcMar>
            <w:vAlign w:val="center"/>
          </w:tcPr>
          <w:p>
            <w:pPr>
              <w:spacing w:after="40" w:before="40" w:line="240"/>
              <w:jc w:val="left"/>
            </w:pPr>
          </w:p>
        </w:tc>
        <w:tc>
          <w:tcPr>
            <w:tcW w:type="dxa" w:w="1300"/>
            <w:shd w:fill="F2F2F2" w:color="auto" w:val="clear"/>
            <w:tcMar>
              <w:top w:type="dxa" w:w="60"/>
              <w:left w:type="dxa" w:w="90"/>
              <w:bottom w:type="dxa" w:w="60"/>
              <w:right w:type="dxa" w:w="90"/>
            </w:tcMar>
            <w:vAlign w:val="center"/>
          </w:tcPr>
          <w:p>
            <w:pPr>
              <w:spacing w:after="40" w:before="40" w:line="240"/>
              <w:jc w:val="left"/>
            </w:pPr>
          </w:p>
        </w:tc>
        <w:tc>
          <w:tcPr>
            <w:tcW w:type="dxa" w:w="1000"/>
            <w:shd w:fill="F2F2F2" w:color="auto" w:val="clear"/>
            <w:tcMar>
              <w:top w:type="dxa" w:w="60"/>
              <w:left w:type="dxa" w:w="90"/>
              <w:bottom w:type="dxa" w:w="60"/>
              <w:right w:type="dxa" w:w="90"/>
            </w:tcMar>
            <w:vAlign w:val="center"/>
          </w:tcPr>
          <w:p>
            <w:pPr>
              <w:spacing w:after="40" w:before="40" w:line="240"/>
              <w:jc w:val="left"/>
            </w:pPr>
          </w:p>
        </w:tc>
        <w:tc>
          <w:tcPr>
            <w:tcW w:type="dxa" w:w="1000"/>
            <w:shd w:fill="F2F2F2" w:color="auto" w:val="clear"/>
            <w:tcMar>
              <w:top w:type="dxa" w:w="60"/>
              <w:left w:type="dxa" w:w="90"/>
              <w:bottom w:type="dxa" w:w="60"/>
              <w:right w:type="dxa" w:w="90"/>
            </w:tcMar>
            <w:vAlign w:val="center"/>
          </w:tcPr>
          <w:p>
            <w:pPr>
              <w:spacing w:after="40" w:before="40" w:line="240"/>
              <w:jc w:val="left"/>
            </w:pPr>
          </w:p>
        </w:tc>
        <w:tc>
          <w:tcPr>
            <w:tcW w:type="dxa" w:w="700"/>
            <w:shd w:fill="F2F2F2" w:color="auto" w:val="clear"/>
            <w:tcMar>
              <w:top w:type="dxa" w:w="60"/>
              <w:left w:type="dxa" w:w="90"/>
              <w:bottom w:type="dxa" w:w="60"/>
              <w:right w:type="dxa" w:w="90"/>
            </w:tcMar>
            <w:vAlign w:val="center"/>
          </w:tcPr>
          <w:p>
            <w:pPr>
              <w:spacing w:after="40" w:before="40" w:line="240"/>
              <w:jc w:val="left"/>
            </w:pPr>
          </w:p>
        </w:tc>
        <w:tc>
          <w:tcPr>
            <w:tcW w:type="dxa" w:w="1600"/>
            <w:shd w:fill="F2F2F2" w:color="auto" w:val="clear"/>
            <w:tcMar>
              <w:top w:type="dxa" w:w="60"/>
              <w:left w:type="dxa" w:w="90"/>
              <w:bottom w:type="dxa" w:w="60"/>
              <w:right w:type="dxa" w:w="90"/>
            </w:tcMar>
            <w:vAlign w:val="center"/>
          </w:tcPr>
          <w:p>
            <w:pPr>
              <w:spacing w:after="40" w:before="40" w:line="240"/>
              <w:jc w:val="left"/>
            </w:pPr>
          </w:p>
        </w:tc>
      </w:tr>
      <w:tr>
        <w:tc>
          <w:tcPr>
            <w:tcW w:type="dxa" w:w="1700"/>
            <w:tcMar>
              <w:top w:type="dxa" w:w="60"/>
              <w:left w:type="dxa" w:w="90"/>
              <w:bottom w:type="dxa" w:w="60"/>
              <w:right w:type="dxa" w:w="90"/>
            </w:tcMar>
            <w:vAlign w:val="center"/>
          </w:tcPr>
          <w:p>
            <w:pPr>
              <w:spacing w:after="40" w:before="40" w:line="240"/>
              <w:jc w:val="left"/>
            </w:pPr>
          </w:p>
        </w:tc>
        <w:tc>
          <w:tcPr>
            <w:tcW w:type="dxa" w:w="1100"/>
            <w:tcMar>
              <w:top w:type="dxa" w:w="60"/>
              <w:left w:type="dxa" w:w="90"/>
              <w:bottom w:type="dxa" w:w="60"/>
              <w:right w:type="dxa" w:w="90"/>
            </w:tcMar>
            <w:vAlign w:val="center"/>
          </w:tcPr>
          <w:p>
            <w:pPr>
              <w:spacing w:after="40" w:before="40" w:line="240"/>
              <w:jc w:val="left"/>
            </w:pPr>
          </w:p>
        </w:tc>
        <w:tc>
          <w:tcPr>
            <w:tcW w:type="dxa" w:w="1200"/>
            <w:tcMar>
              <w:top w:type="dxa" w:w="60"/>
              <w:left w:type="dxa" w:w="90"/>
              <w:bottom w:type="dxa" w:w="60"/>
              <w:right w:type="dxa" w:w="90"/>
            </w:tcMar>
            <w:vAlign w:val="center"/>
          </w:tcPr>
          <w:p>
            <w:pPr>
              <w:spacing w:after="40" w:before="40" w:line="240"/>
              <w:jc w:val="left"/>
            </w:pPr>
          </w:p>
        </w:tc>
        <w:tc>
          <w:tcPr>
            <w:tcW w:type="dxa" w:w="1300"/>
            <w:tcMar>
              <w:top w:type="dxa" w:w="60"/>
              <w:left w:type="dxa" w:w="90"/>
              <w:bottom w:type="dxa" w:w="60"/>
              <w:right w:type="dxa" w:w="90"/>
            </w:tcMar>
            <w:vAlign w:val="center"/>
          </w:tcPr>
          <w:p>
            <w:pPr>
              <w:spacing w:after="40" w:before="40" w:line="240"/>
              <w:jc w:val="left"/>
            </w:pPr>
          </w:p>
        </w:tc>
        <w:tc>
          <w:tcPr>
            <w:tcW w:type="dxa" w:w="1000"/>
            <w:tcMar>
              <w:top w:type="dxa" w:w="60"/>
              <w:left w:type="dxa" w:w="90"/>
              <w:bottom w:type="dxa" w:w="60"/>
              <w:right w:type="dxa" w:w="90"/>
            </w:tcMar>
            <w:vAlign w:val="center"/>
          </w:tcPr>
          <w:p>
            <w:pPr>
              <w:spacing w:after="40" w:before="40" w:line="240"/>
              <w:jc w:val="left"/>
            </w:pPr>
          </w:p>
        </w:tc>
        <w:tc>
          <w:tcPr>
            <w:tcW w:type="dxa" w:w="1000"/>
            <w:tcMar>
              <w:top w:type="dxa" w:w="60"/>
              <w:left w:type="dxa" w:w="90"/>
              <w:bottom w:type="dxa" w:w="60"/>
              <w:right w:type="dxa" w:w="90"/>
            </w:tcMar>
            <w:vAlign w:val="center"/>
          </w:tcPr>
          <w:p>
            <w:pPr>
              <w:spacing w:after="40" w:before="40" w:line="240"/>
              <w:jc w:val="left"/>
            </w:pPr>
          </w:p>
        </w:tc>
        <w:tc>
          <w:tcPr>
            <w:tcW w:type="dxa" w:w="700"/>
            <w:tcMar>
              <w:top w:type="dxa" w:w="60"/>
              <w:left w:type="dxa" w:w="90"/>
              <w:bottom w:type="dxa" w:w="60"/>
              <w:right w:type="dxa" w:w="90"/>
            </w:tcMar>
            <w:vAlign w:val="center"/>
          </w:tcPr>
          <w:p>
            <w:pPr>
              <w:spacing w:after="40" w:before="40" w:line="240"/>
              <w:jc w:val="left"/>
            </w:pPr>
          </w:p>
        </w:tc>
        <w:tc>
          <w:tcPr>
            <w:tcW w:type="dxa" w:w="1600"/>
            <w:tcMar>
              <w:top w:type="dxa" w:w="60"/>
              <w:left w:type="dxa" w:w="90"/>
              <w:bottom w:type="dxa" w:w="60"/>
              <w:right w:type="dxa" w:w="90"/>
            </w:tcMar>
            <w:vAlign w:val="center"/>
          </w:tcPr>
          <w:p>
            <w:pPr>
              <w:spacing w:after="40" w:before="40" w:line="240"/>
              <w:jc w:val="left"/>
            </w:pPr>
          </w:p>
        </w:tc>
      </w:tr>
      <w:tr>
        <w:tc>
          <w:tcPr>
            <w:tcW w:type="dxa" w:w="1700"/>
            <w:shd w:fill="F2F2F2" w:color="auto" w:val="clear"/>
            <w:tcMar>
              <w:top w:type="dxa" w:w="60"/>
              <w:left w:type="dxa" w:w="90"/>
              <w:bottom w:type="dxa" w:w="60"/>
              <w:right w:type="dxa" w:w="90"/>
            </w:tcMar>
            <w:vAlign w:val="center"/>
          </w:tcPr>
          <w:p>
            <w:pPr>
              <w:spacing w:after="40" w:before="40" w:line="240"/>
              <w:jc w:val="left"/>
            </w:pPr>
          </w:p>
        </w:tc>
        <w:tc>
          <w:tcPr>
            <w:tcW w:type="dxa" w:w="1100"/>
            <w:shd w:fill="F2F2F2" w:color="auto" w:val="clear"/>
            <w:tcMar>
              <w:top w:type="dxa" w:w="60"/>
              <w:left w:type="dxa" w:w="90"/>
              <w:bottom w:type="dxa" w:w="60"/>
              <w:right w:type="dxa" w:w="90"/>
            </w:tcMar>
            <w:vAlign w:val="center"/>
          </w:tcPr>
          <w:p>
            <w:pPr>
              <w:spacing w:after="40" w:before="40" w:line="240"/>
              <w:jc w:val="left"/>
            </w:pPr>
          </w:p>
        </w:tc>
        <w:tc>
          <w:tcPr>
            <w:tcW w:type="dxa" w:w="1200"/>
            <w:shd w:fill="F2F2F2" w:color="auto" w:val="clear"/>
            <w:tcMar>
              <w:top w:type="dxa" w:w="60"/>
              <w:left w:type="dxa" w:w="90"/>
              <w:bottom w:type="dxa" w:w="60"/>
              <w:right w:type="dxa" w:w="90"/>
            </w:tcMar>
            <w:vAlign w:val="center"/>
          </w:tcPr>
          <w:p>
            <w:pPr>
              <w:spacing w:after="40" w:before="40" w:line="240"/>
              <w:jc w:val="left"/>
            </w:pPr>
          </w:p>
        </w:tc>
        <w:tc>
          <w:tcPr>
            <w:tcW w:type="dxa" w:w="1300"/>
            <w:shd w:fill="F2F2F2" w:color="auto" w:val="clear"/>
            <w:tcMar>
              <w:top w:type="dxa" w:w="60"/>
              <w:left w:type="dxa" w:w="90"/>
              <w:bottom w:type="dxa" w:w="60"/>
              <w:right w:type="dxa" w:w="90"/>
            </w:tcMar>
            <w:vAlign w:val="center"/>
          </w:tcPr>
          <w:p>
            <w:pPr>
              <w:spacing w:after="40" w:before="40" w:line="240"/>
              <w:jc w:val="left"/>
            </w:pPr>
          </w:p>
        </w:tc>
        <w:tc>
          <w:tcPr>
            <w:tcW w:type="dxa" w:w="1000"/>
            <w:shd w:fill="F2F2F2" w:color="auto" w:val="clear"/>
            <w:tcMar>
              <w:top w:type="dxa" w:w="60"/>
              <w:left w:type="dxa" w:w="90"/>
              <w:bottom w:type="dxa" w:w="60"/>
              <w:right w:type="dxa" w:w="90"/>
            </w:tcMar>
            <w:vAlign w:val="center"/>
          </w:tcPr>
          <w:p>
            <w:pPr>
              <w:spacing w:after="40" w:before="40" w:line="240"/>
              <w:jc w:val="left"/>
            </w:pPr>
          </w:p>
        </w:tc>
        <w:tc>
          <w:tcPr>
            <w:tcW w:type="dxa" w:w="1000"/>
            <w:shd w:fill="F2F2F2" w:color="auto" w:val="clear"/>
            <w:tcMar>
              <w:top w:type="dxa" w:w="60"/>
              <w:left w:type="dxa" w:w="90"/>
              <w:bottom w:type="dxa" w:w="60"/>
              <w:right w:type="dxa" w:w="90"/>
            </w:tcMar>
            <w:vAlign w:val="center"/>
          </w:tcPr>
          <w:p>
            <w:pPr>
              <w:spacing w:after="40" w:before="40" w:line="240"/>
              <w:jc w:val="left"/>
            </w:pPr>
          </w:p>
        </w:tc>
        <w:tc>
          <w:tcPr>
            <w:tcW w:type="dxa" w:w="700"/>
            <w:shd w:fill="F2F2F2" w:color="auto" w:val="clear"/>
            <w:tcMar>
              <w:top w:type="dxa" w:w="60"/>
              <w:left w:type="dxa" w:w="90"/>
              <w:bottom w:type="dxa" w:w="60"/>
              <w:right w:type="dxa" w:w="90"/>
            </w:tcMar>
            <w:vAlign w:val="center"/>
          </w:tcPr>
          <w:p>
            <w:pPr>
              <w:spacing w:after="40" w:before="40" w:line="240"/>
              <w:jc w:val="left"/>
            </w:pPr>
          </w:p>
        </w:tc>
        <w:tc>
          <w:tcPr>
            <w:tcW w:type="dxa" w:w="1600"/>
            <w:shd w:fill="F2F2F2" w:color="auto" w:val="clear"/>
            <w:tcMar>
              <w:top w:type="dxa" w:w="60"/>
              <w:left w:type="dxa" w:w="90"/>
              <w:bottom w:type="dxa" w:w="60"/>
              <w:right w:type="dxa" w:w="90"/>
            </w:tcMar>
            <w:vAlign w:val="center"/>
          </w:tcPr>
          <w:p>
            <w:pPr>
              <w:spacing w:after="40" w:before="40" w:line="240"/>
              <w:jc w:val="left"/>
            </w:pPr>
          </w:p>
        </w:tc>
      </w:tr>
      <w:tr>
        <w:tc>
          <w:tcPr>
            <w:tcW w:type="dxa" w:w="1700"/>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sz w:val="19"/>
                <w:szCs w:val="19"/>
              </w:rPr>
              <w:t xml:space="preserve">TOTAL</w:t>
            </w:r>
          </w:p>
        </w:tc>
        <w:tc>
          <w:tcPr>
            <w:tcW w:type="dxa" w:w="1100"/>
            <w:tcMar>
              <w:top w:type="dxa" w:w="60"/>
              <w:left w:type="dxa" w:w="90"/>
              <w:bottom w:type="dxa" w:w="60"/>
              <w:right w:type="dxa" w:w="90"/>
            </w:tcMar>
            <w:vAlign w:val="center"/>
          </w:tcPr>
          <w:p>
            <w:pPr>
              <w:spacing w:after="40" w:before="40" w:line="240"/>
              <w:jc w:val="left"/>
            </w:pPr>
          </w:p>
        </w:tc>
        <w:tc>
          <w:tcPr>
            <w:tcW w:type="dxa" w:w="1200"/>
            <w:tcMar>
              <w:top w:type="dxa" w:w="60"/>
              <w:left w:type="dxa" w:w="90"/>
              <w:bottom w:type="dxa" w:w="60"/>
              <w:right w:type="dxa" w:w="90"/>
            </w:tcMar>
            <w:vAlign w:val="center"/>
          </w:tcPr>
          <w:p>
            <w:pPr>
              <w:spacing w:after="40" w:before="40" w:line="240"/>
              <w:jc w:val="left"/>
            </w:pPr>
          </w:p>
        </w:tc>
        <w:tc>
          <w:tcPr>
            <w:tcW w:type="dxa" w:w="1300"/>
            <w:tcMar>
              <w:top w:type="dxa" w:w="60"/>
              <w:left w:type="dxa" w:w="90"/>
              <w:bottom w:type="dxa" w:w="60"/>
              <w:right w:type="dxa" w:w="90"/>
            </w:tcMar>
            <w:vAlign w:val="center"/>
          </w:tcPr>
          <w:p>
            <w:pPr>
              <w:spacing w:after="40" w:before="40" w:line="240"/>
              <w:jc w:val="left"/>
            </w:pPr>
          </w:p>
        </w:tc>
        <w:tc>
          <w:tcPr>
            <w:tcW w:type="dxa" w:w="1000"/>
            <w:tcMar>
              <w:top w:type="dxa" w:w="60"/>
              <w:left w:type="dxa" w:w="90"/>
              <w:bottom w:type="dxa" w:w="60"/>
              <w:right w:type="dxa" w:w="90"/>
            </w:tcMar>
            <w:vAlign w:val="center"/>
          </w:tcPr>
          <w:p>
            <w:pPr>
              <w:spacing w:after="40" w:before="40" w:line="240"/>
              <w:jc w:val="left"/>
            </w:pPr>
          </w:p>
        </w:tc>
        <w:tc>
          <w:tcPr>
            <w:tcW w:type="dxa" w:w="1000"/>
            <w:tcMar>
              <w:top w:type="dxa" w:w="60"/>
              <w:left w:type="dxa" w:w="90"/>
              <w:bottom w:type="dxa" w:w="60"/>
              <w:right w:type="dxa" w:w="90"/>
            </w:tcMar>
            <w:vAlign w:val="center"/>
          </w:tcPr>
          <w:p>
            <w:pPr>
              <w:spacing w:after="40" w:before="40" w:line="240"/>
              <w:jc w:val="left"/>
            </w:pPr>
          </w:p>
        </w:tc>
        <w:tc>
          <w:tcPr>
            <w:tcW w:type="dxa" w:w="700"/>
            <w:tcMar>
              <w:top w:type="dxa" w:w="60"/>
              <w:left w:type="dxa" w:w="90"/>
              <w:bottom w:type="dxa" w:w="60"/>
              <w:right w:type="dxa" w:w="90"/>
            </w:tcMar>
            <w:vAlign w:val="center"/>
          </w:tcPr>
          <w:p>
            <w:pPr>
              <w:spacing w:after="40" w:before="40" w:line="240"/>
              <w:jc w:val="left"/>
            </w:pPr>
          </w:p>
        </w:tc>
        <w:tc>
          <w:tcPr>
            <w:tcW w:type="dxa" w:w="1600"/>
            <w:tcMar>
              <w:top w:type="dxa" w:w="60"/>
              <w:left w:type="dxa" w:w="90"/>
              <w:bottom w:type="dxa" w:w="60"/>
              <w:right w:type="dxa" w:w="90"/>
            </w:tcMar>
            <w:vAlign w:val="center"/>
          </w:tcPr>
          <w:p>
            <w:pPr>
              <w:spacing w:after="40" w:before="40" w:line="240"/>
              <w:jc w:val="left"/>
            </w:pPr>
          </w:p>
        </w:tc>
      </w:tr>
    </w:tbl>
    <w:p>
      <w:pPr>
        <w:spacing w:after="120"/>
      </w:pPr>
    </w:p>
    <w:p>
      <w:pPr>
        <w:spacing w:after="120" w:line="264"/>
        <w:jc w:val="both"/>
      </w:pPr>
      <w:r>
        <w:rPr>
          <w:rFonts w:ascii="Calibri" w:cs="Calibri" w:eastAsia="Calibri" w:hAnsi="Calibri"/>
          <w:b/>
          <w:bCs/>
          <w:i w:val="false"/>
          <w:iCs w:val="false"/>
          <w:sz w:val="21"/>
          <w:szCs w:val="21"/>
        </w:rPr>
        <w:t xml:space="preserve">Resumen por tramos de antigüedad</w:t>
      </w:r>
      <w:r>
        <w:rPr>
          <w:rFonts w:ascii="Calibri" w:cs="Calibri" w:eastAsia="Calibri" w:hAnsi="Calibri"/>
          <w:b w:val="false"/>
          <w:bCs w:val="false"/>
          <w:i w:val="false"/>
          <w:iCs w:val="false"/>
          <w:sz w:val="21"/>
          <w:szCs w:val="21"/>
        </w:rPr>
        <w:t xml:space="preserve"> (se rellena a partir de la tabla anterior):</w:t>
      </w:r>
    </w:p>
    <w:tbl>
      <w:tblPr>
        <w:tblW w:type="dxa" w:w="9600"/>
        <w:tblBorders>
          <w:top w:val="single" w:color="BFBFBF" w:sz="4"/>
          <w:left w:val="single" w:color="BFBFBF" w:sz="4"/>
          <w:bottom w:val="single" w:color="BFBFBF" w:sz="4"/>
          <w:right w:val="single" w:color="BFBFBF" w:sz="4"/>
          <w:insideH w:val="single" w:color="D9D9D9" w:sz="2"/>
          <w:insideV w:val="single" w:color="D9D9D9" w:sz="2"/>
        </w:tblBorders>
      </w:tblPr>
      <w:tblGrid>
        <w:gridCol w:w="2400"/>
        <w:gridCol w:w="1200"/>
        <w:gridCol w:w="1200"/>
        <w:gridCol w:w="1200"/>
        <w:gridCol w:w="1200"/>
        <w:gridCol w:w="1200"/>
        <w:gridCol w:w="1200"/>
      </w:tblGrid>
      <w:tr>
        <w:trPr>
          <w:tblHeader/>
        </w:trPr>
        <w:tc>
          <w:tcPr>
            <w:tcW w:type="dxa" w:w="2400"/>
            <w:shd w:fill="1F3864"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color w:val="FFFFFF"/>
                <w:sz w:val="19"/>
                <w:szCs w:val="19"/>
              </w:rPr>
              <w:t xml:space="preserve">Tramo</w:t>
            </w:r>
          </w:p>
        </w:tc>
        <w:tc>
          <w:tcPr>
            <w:tcW w:type="dxa" w:w="1200"/>
            <w:shd w:fill="1F3864"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color w:val="FFFFFF"/>
                <w:sz w:val="19"/>
                <w:szCs w:val="19"/>
              </w:rPr>
              <w:t xml:space="preserve">Al corriente</w:t>
            </w:r>
          </w:p>
        </w:tc>
        <w:tc>
          <w:tcPr>
            <w:tcW w:type="dxa" w:w="1200"/>
            <w:shd w:fill="1F3864"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color w:val="FFFFFF"/>
                <w:sz w:val="19"/>
                <w:szCs w:val="19"/>
              </w:rPr>
              <w:t xml:space="preserve">1–30 días</w:t>
            </w:r>
          </w:p>
        </w:tc>
        <w:tc>
          <w:tcPr>
            <w:tcW w:type="dxa" w:w="1200"/>
            <w:shd w:fill="1F3864"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color w:val="FFFFFF"/>
                <w:sz w:val="19"/>
                <w:szCs w:val="19"/>
              </w:rPr>
              <w:t xml:space="preserve">31–60 días</w:t>
            </w:r>
          </w:p>
        </w:tc>
        <w:tc>
          <w:tcPr>
            <w:tcW w:type="dxa" w:w="1200"/>
            <w:shd w:fill="1F3864"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color w:val="FFFFFF"/>
                <w:sz w:val="19"/>
                <w:szCs w:val="19"/>
              </w:rPr>
              <w:t xml:space="preserve">61–90 días</w:t>
            </w:r>
          </w:p>
        </w:tc>
        <w:tc>
          <w:tcPr>
            <w:tcW w:type="dxa" w:w="1200"/>
            <w:shd w:fill="1F3864"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color w:val="FFFFFF"/>
                <w:sz w:val="19"/>
                <w:szCs w:val="19"/>
              </w:rPr>
              <w:t xml:space="preserve">&gt; 90 días</w:t>
            </w:r>
          </w:p>
        </w:tc>
        <w:tc>
          <w:tcPr>
            <w:tcW w:type="dxa" w:w="1200"/>
            <w:shd w:fill="1F3864"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color w:val="FFFFFF"/>
                <w:sz w:val="19"/>
                <w:szCs w:val="19"/>
              </w:rPr>
              <w:t xml:space="preserve">TOTAL</w:t>
            </w:r>
          </w:p>
        </w:tc>
      </w:tr>
      <w:tr>
        <w:tc>
          <w:tcPr>
            <w:tcW w:type="dxa" w:w="2400"/>
            <w:shd w:fill="F8CBAD"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Rojo (vitales)</w:t>
            </w:r>
          </w:p>
        </w:tc>
        <w:tc>
          <w:tcPr>
            <w:tcW w:type="dxa" w:w="1200"/>
            <w:shd w:fill="F8CBAD" w:color="auto" w:val="clear"/>
            <w:tcMar>
              <w:top w:type="dxa" w:w="60"/>
              <w:left w:type="dxa" w:w="90"/>
              <w:bottom w:type="dxa" w:w="60"/>
              <w:right w:type="dxa" w:w="90"/>
            </w:tcMar>
            <w:vAlign w:val="center"/>
          </w:tcPr>
          <w:p>
            <w:pPr>
              <w:spacing w:after="40" w:before="40" w:line="240"/>
              <w:jc w:val="left"/>
            </w:pPr>
          </w:p>
        </w:tc>
        <w:tc>
          <w:tcPr>
            <w:tcW w:type="dxa" w:w="1200"/>
            <w:shd w:fill="F8CBAD" w:color="auto" w:val="clear"/>
            <w:tcMar>
              <w:top w:type="dxa" w:w="60"/>
              <w:left w:type="dxa" w:w="90"/>
              <w:bottom w:type="dxa" w:w="60"/>
              <w:right w:type="dxa" w:w="90"/>
            </w:tcMar>
            <w:vAlign w:val="center"/>
          </w:tcPr>
          <w:p>
            <w:pPr>
              <w:spacing w:after="40" w:before="40" w:line="240"/>
              <w:jc w:val="left"/>
            </w:pPr>
          </w:p>
        </w:tc>
        <w:tc>
          <w:tcPr>
            <w:tcW w:type="dxa" w:w="1200"/>
            <w:shd w:fill="F8CBAD" w:color="auto" w:val="clear"/>
            <w:tcMar>
              <w:top w:type="dxa" w:w="60"/>
              <w:left w:type="dxa" w:w="90"/>
              <w:bottom w:type="dxa" w:w="60"/>
              <w:right w:type="dxa" w:w="90"/>
            </w:tcMar>
            <w:vAlign w:val="center"/>
          </w:tcPr>
          <w:p>
            <w:pPr>
              <w:spacing w:after="40" w:before="40" w:line="240"/>
              <w:jc w:val="left"/>
            </w:pPr>
          </w:p>
        </w:tc>
        <w:tc>
          <w:tcPr>
            <w:tcW w:type="dxa" w:w="1200"/>
            <w:shd w:fill="F8CBAD" w:color="auto" w:val="clear"/>
            <w:tcMar>
              <w:top w:type="dxa" w:w="60"/>
              <w:left w:type="dxa" w:w="90"/>
              <w:bottom w:type="dxa" w:w="60"/>
              <w:right w:type="dxa" w:w="90"/>
            </w:tcMar>
            <w:vAlign w:val="center"/>
          </w:tcPr>
          <w:p>
            <w:pPr>
              <w:spacing w:after="40" w:before="40" w:line="240"/>
              <w:jc w:val="left"/>
            </w:pPr>
          </w:p>
        </w:tc>
        <w:tc>
          <w:tcPr>
            <w:tcW w:type="dxa" w:w="1200"/>
            <w:shd w:fill="F8CBAD" w:color="auto" w:val="clear"/>
            <w:tcMar>
              <w:top w:type="dxa" w:w="60"/>
              <w:left w:type="dxa" w:w="90"/>
              <w:bottom w:type="dxa" w:w="60"/>
              <w:right w:type="dxa" w:w="90"/>
            </w:tcMar>
            <w:vAlign w:val="center"/>
          </w:tcPr>
          <w:p>
            <w:pPr>
              <w:spacing w:after="40" w:before="40" w:line="240"/>
              <w:jc w:val="left"/>
            </w:pPr>
          </w:p>
        </w:tc>
        <w:tc>
          <w:tcPr>
            <w:tcW w:type="dxa" w:w="1200"/>
            <w:shd w:fill="F8CBAD" w:color="auto" w:val="clear"/>
            <w:tcMar>
              <w:top w:type="dxa" w:w="60"/>
              <w:left w:type="dxa" w:w="90"/>
              <w:bottom w:type="dxa" w:w="60"/>
              <w:right w:type="dxa" w:w="90"/>
            </w:tcMar>
            <w:vAlign w:val="center"/>
          </w:tcPr>
          <w:p>
            <w:pPr>
              <w:spacing w:after="40" w:before="40" w:line="240"/>
              <w:jc w:val="left"/>
            </w:pPr>
          </w:p>
        </w:tc>
      </w:tr>
      <w:tr>
        <w:tc>
          <w:tcPr>
            <w:tcW w:type="dxa" w:w="2400"/>
            <w:shd w:fill="FFE699"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Ámbar (importantes)</w:t>
            </w:r>
          </w:p>
        </w:tc>
        <w:tc>
          <w:tcPr>
            <w:tcW w:type="dxa" w:w="1200"/>
            <w:shd w:fill="FFE699" w:color="auto" w:val="clear"/>
            <w:tcMar>
              <w:top w:type="dxa" w:w="60"/>
              <w:left w:type="dxa" w:w="90"/>
              <w:bottom w:type="dxa" w:w="60"/>
              <w:right w:type="dxa" w:w="90"/>
            </w:tcMar>
            <w:vAlign w:val="center"/>
          </w:tcPr>
          <w:p>
            <w:pPr>
              <w:spacing w:after="40" w:before="40" w:line="240"/>
              <w:jc w:val="left"/>
            </w:pPr>
          </w:p>
        </w:tc>
        <w:tc>
          <w:tcPr>
            <w:tcW w:type="dxa" w:w="1200"/>
            <w:shd w:fill="FFE699" w:color="auto" w:val="clear"/>
            <w:tcMar>
              <w:top w:type="dxa" w:w="60"/>
              <w:left w:type="dxa" w:w="90"/>
              <w:bottom w:type="dxa" w:w="60"/>
              <w:right w:type="dxa" w:w="90"/>
            </w:tcMar>
            <w:vAlign w:val="center"/>
          </w:tcPr>
          <w:p>
            <w:pPr>
              <w:spacing w:after="40" w:before="40" w:line="240"/>
              <w:jc w:val="left"/>
            </w:pPr>
          </w:p>
        </w:tc>
        <w:tc>
          <w:tcPr>
            <w:tcW w:type="dxa" w:w="1200"/>
            <w:shd w:fill="FFE699" w:color="auto" w:val="clear"/>
            <w:tcMar>
              <w:top w:type="dxa" w:w="60"/>
              <w:left w:type="dxa" w:w="90"/>
              <w:bottom w:type="dxa" w:w="60"/>
              <w:right w:type="dxa" w:w="90"/>
            </w:tcMar>
            <w:vAlign w:val="center"/>
          </w:tcPr>
          <w:p>
            <w:pPr>
              <w:spacing w:after="40" w:before="40" w:line="240"/>
              <w:jc w:val="left"/>
            </w:pPr>
          </w:p>
        </w:tc>
        <w:tc>
          <w:tcPr>
            <w:tcW w:type="dxa" w:w="1200"/>
            <w:shd w:fill="FFE699" w:color="auto" w:val="clear"/>
            <w:tcMar>
              <w:top w:type="dxa" w:w="60"/>
              <w:left w:type="dxa" w:w="90"/>
              <w:bottom w:type="dxa" w:w="60"/>
              <w:right w:type="dxa" w:w="90"/>
            </w:tcMar>
            <w:vAlign w:val="center"/>
          </w:tcPr>
          <w:p>
            <w:pPr>
              <w:spacing w:after="40" w:before="40" w:line="240"/>
              <w:jc w:val="left"/>
            </w:pPr>
          </w:p>
        </w:tc>
        <w:tc>
          <w:tcPr>
            <w:tcW w:type="dxa" w:w="1200"/>
            <w:shd w:fill="FFE699" w:color="auto" w:val="clear"/>
            <w:tcMar>
              <w:top w:type="dxa" w:w="60"/>
              <w:left w:type="dxa" w:w="90"/>
              <w:bottom w:type="dxa" w:w="60"/>
              <w:right w:type="dxa" w:w="90"/>
            </w:tcMar>
            <w:vAlign w:val="center"/>
          </w:tcPr>
          <w:p>
            <w:pPr>
              <w:spacing w:after="40" w:before="40" w:line="240"/>
              <w:jc w:val="left"/>
            </w:pPr>
          </w:p>
        </w:tc>
        <w:tc>
          <w:tcPr>
            <w:tcW w:type="dxa" w:w="1200"/>
            <w:shd w:fill="FFE699" w:color="auto" w:val="clear"/>
            <w:tcMar>
              <w:top w:type="dxa" w:w="60"/>
              <w:left w:type="dxa" w:w="90"/>
              <w:bottom w:type="dxa" w:w="60"/>
              <w:right w:type="dxa" w:w="90"/>
            </w:tcMar>
            <w:vAlign w:val="center"/>
          </w:tcPr>
          <w:p>
            <w:pPr>
              <w:spacing w:after="40" w:before="40" w:line="240"/>
              <w:jc w:val="left"/>
            </w:pPr>
          </w:p>
        </w:tc>
      </w:tr>
      <w:tr>
        <w:tc>
          <w:tcPr>
            <w:tcW w:type="dxa" w:w="2400"/>
            <w:shd w:fill="C6E0B4"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Verde (aplazables)</w:t>
            </w:r>
          </w:p>
        </w:tc>
        <w:tc>
          <w:tcPr>
            <w:tcW w:type="dxa" w:w="1200"/>
            <w:shd w:fill="C6E0B4" w:color="auto" w:val="clear"/>
            <w:tcMar>
              <w:top w:type="dxa" w:w="60"/>
              <w:left w:type="dxa" w:w="90"/>
              <w:bottom w:type="dxa" w:w="60"/>
              <w:right w:type="dxa" w:w="90"/>
            </w:tcMar>
            <w:vAlign w:val="center"/>
          </w:tcPr>
          <w:p>
            <w:pPr>
              <w:spacing w:after="40" w:before="40" w:line="240"/>
              <w:jc w:val="left"/>
            </w:pPr>
          </w:p>
        </w:tc>
        <w:tc>
          <w:tcPr>
            <w:tcW w:type="dxa" w:w="1200"/>
            <w:shd w:fill="C6E0B4" w:color="auto" w:val="clear"/>
            <w:tcMar>
              <w:top w:type="dxa" w:w="60"/>
              <w:left w:type="dxa" w:w="90"/>
              <w:bottom w:type="dxa" w:w="60"/>
              <w:right w:type="dxa" w:w="90"/>
            </w:tcMar>
            <w:vAlign w:val="center"/>
          </w:tcPr>
          <w:p>
            <w:pPr>
              <w:spacing w:after="40" w:before="40" w:line="240"/>
              <w:jc w:val="left"/>
            </w:pPr>
          </w:p>
        </w:tc>
        <w:tc>
          <w:tcPr>
            <w:tcW w:type="dxa" w:w="1200"/>
            <w:shd w:fill="C6E0B4" w:color="auto" w:val="clear"/>
            <w:tcMar>
              <w:top w:type="dxa" w:w="60"/>
              <w:left w:type="dxa" w:w="90"/>
              <w:bottom w:type="dxa" w:w="60"/>
              <w:right w:type="dxa" w:w="90"/>
            </w:tcMar>
            <w:vAlign w:val="center"/>
          </w:tcPr>
          <w:p>
            <w:pPr>
              <w:spacing w:after="40" w:before="40" w:line="240"/>
              <w:jc w:val="left"/>
            </w:pPr>
          </w:p>
        </w:tc>
        <w:tc>
          <w:tcPr>
            <w:tcW w:type="dxa" w:w="1200"/>
            <w:shd w:fill="C6E0B4" w:color="auto" w:val="clear"/>
            <w:tcMar>
              <w:top w:type="dxa" w:w="60"/>
              <w:left w:type="dxa" w:w="90"/>
              <w:bottom w:type="dxa" w:w="60"/>
              <w:right w:type="dxa" w:w="90"/>
            </w:tcMar>
            <w:vAlign w:val="center"/>
          </w:tcPr>
          <w:p>
            <w:pPr>
              <w:spacing w:after="40" w:before="40" w:line="240"/>
              <w:jc w:val="left"/>
            </w:pPr>
          </w:p>
        </w:tc>
        <w:tc>
          <w:tcPr>
            <w:tcW w:type="dxa" w:w="1200"/>
            <w:shd w:fill="C6E0B4" w:color="auto" w:val="clear"/>
            <w:tcMar>
              <w:top w:type="dxa" w:w="60"/>
              <w:left w:type="dxa" w:w="90"/>
              <w:bottom w:type="dxa" w:w="60"/>
              <w:right w:type="dxa" w:w="90"/>
            </w:tcMar>
            <w:vAlign w:val="center"/>
          </w:tcPr>
          <w:p>
            <w:pPr>
              <w:spacing w:after="40" w:before="40" w:line="240"/>
              <w:jc w:val="left"/>
            </w:pPr>
          </w:p>
        </w:tc>
        <w:tc>
          <w:tcPr>
            <w:tcW w:type="dxa" w:w="1200"/>
            <w:shd w:fill="C6E0B4" w:color="auto" w:val="clear"/>
            <w:tcMar>
              <w:top w:type="dxa" w:w="60"/>
              <w:left w:type="dxa" w:w="90"/>
              <w:bottom w:type="dxa" w:w="60"/>
              <w:right w:type="dxa" w:w="90"/>
            </w:tcMar>
            <w:vAlign w:val="center"/>
          </w:tcPr>
          <w:p>
            <w:pPr>
              <w:spacing w:after="40" w:before="40" w:line="240"/>
              <w:jc w:val="left"/>
            </w:pPr>
          </w:p>
        </w:tc>
      </w:tr>
      <w:tr>
        <w:tc>
          <w:tcPr>
            <w:tcW w:type="dxa" w:w="2400"/>
            <w:shd w:fill="D9D9D9"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sz w:val="19"/>
                <w:szCs w:val="19"/>
              </w:rPr>
              <w:t xml:space="preserve">TOTAL</w:t>
            </w:r>
          </w:p>
        </w:tc>
        <w:tc>
          <w:tcPr>
            <w:tcW w:type="dxa" w:w="1200"/>
            <w:shd w:fill="D9D9D9" w:color="auto" w:val="clear"/>
            <w:tcMar>
              <w:top w:type="dxa" w:w="60"/>
              <w:left w:type="dxa" w:w="90"/>
              <w:bottom w:type="dxa" w:w="60"/>
              <w:right w:type="dxa" w:w="90"/>
            </w:tcMar>
            <w:vAlign w:val="center"/>
          </w:tcPr>
          <w:p>
            <w:pPr>
              <w:spacing w:after="40" w:before="40" w:line="240"/>
              <w:jc w:val="left"/>
            </w:pPr>
          </w:p>
        </w:tc>
        <w:tc>
          <w:tcPr>
            <w:tcW w:type="dxa" w:w="1200"/>
            <w:shd w:fill="D9D9D9" w:color="auto" w:val="clear"/>
            <w:tcMar>
              <w:top w:type="dxa" w:w="60"/>
              <w:left w:type="dxa" w:w="90"/>
              <w:bottom w:type="dxa" w:w="60"/>
              <w:right w:type="dxa" w:w="90"/>
            </w:tcMar>
            <w:vAlign w:val="center"/>
          </w:tcPr>
          <w:p>
            <w:pPr>
              <w:spacing w:after="40" w:before="40" w:line="240"/>
              <w:jc w:val="left"/>
            </w:pPr>
          </w:p>
        </w:tc>
        <w:tc>
          <w:tcPr>
            <w:tcW w:type="dxa" w:w="1200"/>
            <w:shd w:fill="D9D9D9" w:color="auto" w:val="clear"/>
            <w:tcMar>
              <w:top w:type="dxa" w:w="60"/>
              <w:left w:type="dxa" w:w="90"/>
              <w:bottom w:type="dxa" w:w="60"/>
              <w:right w:type="dxa" w:w="90"/>
            </w:tcMar>
            <w:vAlign w:val="center"/>
          </w:tcPr>
          <w:p>
            <w:pPr>
              <w:spacing w:after="40" w:before="40" w:line="240"/>
              <w:jc w:val="left"/>
            </w:pPr>
          </w:p>
        </w:tc>
        <w:tc>
          <w:tcPr>
            <w:tcW w:type="dxa" w:w="1200"/>
            <w:shd w:fill="D9D9D9" w:color="auto" w:val="clear"/>
            <w:tcMar>
              <w:top w:type="dxa" w:w="60"/>
              <w:left w:type="dxa" w:w="90"/>
              <w:bottom w:type="dxa" w:w="60"/>
              <w:right w:type="dxa" w:w="90"/>
            </w:tcMar>
            <w:vAlign w:val="center"/>
          </w:tcPr>
          <w:p>
            <w:pPr>
              <w:spacing w:after="40" w:before="40" w:line="240"/>
              <w:jc w:val="left"/>
            </w:pPr>
          </w:p>
        </w:tc>
        <w:tc>
          <w:tcPr>
            <w:tcW w:type="dxa" w:w="1200"/>
            <w:shd w:fill="D9D9D9" w:color="auto" w:val="clear"/>
            <w:tcMar>
              <w:top w:type="dxa" w:w="60"/>
              <w:left w:type="dxa" w:w="90"/>
              <w:bottom w:type="dxa" w:w="60"/>
              <w:right w:type="dxa" w:w="90"/>
            </w:tcMar>
            <w:vAlign w:val="center"/>
          </w:tcPr>
          <w:p>
            <w:pPr>
              <w:spacing w:after="40" w:before="40" w:line="240"/>
              <w:jc w:val="left"/>
            </w:pPr>
          </w:p>
        </w:tc>
        <w:tc>
          <w:tcPr>
            <w:tcW w:type="dxa" w:w="1200"/>
            <w:shd w:fill="D9D9D9" w:color="auto" w:val="clear"/>
            <w:tcMar>
              <w:top w:type="dxa" w:w="60"/>
              <w:left w:type="dxa" w:w="90"/>
              <w:bottom w:type="dxa" w:w="60"/>
              <w:right w:type="dxa" w:w="90"/>
            </w:tcMar>
            <w:vAlign w:val="center"/>
          </w:tcPr>
          <w:p>
            <w:pPr>
              <w:spacing w:after="40" w:before="40" w:line="240"/>
              <w:jc w:val="left"/>
            </w:pPr>
          </w:p>
        </w:tc>
      </w:tr>
    </w:tbl>
    <w:p>
      <w:pPr>
        <w:pStyle w:val="Heading1"/>
        <w:pageBreakBefore/>
        <w:pBdr>
          <w:bottom w:val="single" w:color="2E74B5" w:sz="8" w:space="6"/>
        </w:pBdr>
        <w:spacing w:after="180" w:before="240"/>
      </w:pPr>
      <w:r>
        <w:rPr>
          <w:rFonts w:ascii="Calibri" w:cs="Calibri" w:eastAsia="Calibri" w:hAnsi="Calibri"/>
          <w:b/>
          <w:bCs/>
          <w:color w:val="1F3864"/>
          <w:sz w:val="30"/>
          <w:szCs w:val="30"/>
        </w:rPr>
        <w:t xml:space="preserve">Anexo B. Plantilla — Presupuesto de tesorería</w:t>
      </w:r>
    </w:p>
    <w:p>
      <w:pPr>
        <w:spacing w:after="120" w:line="264"/>
        <w:jc w:val="both"/>
      </w:pPr>
      <w:r>
        <w:rPr>
          <w:rFonts w:ascii="Calibri" w:cs="Calibri" w:eastAsia="Calibri" w:hAnsi="Calibri"/>
          <w:b w:val="false"/>
          <w:bCs w:val="false"/>
          <w:i w:val="false"/>
          <w:iCs w:val="false"/>
          <w:sz w:val="21"/>
          <w:szCs w:val="21"/>
        </w:rPr>
        <w:t xml:space="preserve">Se muestran seis semanas por motivos de espacio; en la hoja de cálculo deben ser trece. Importes en euros.</w:t>
      </w:r>
    </w:p>
    <w:tbl>
      <w:tblPr>
        <w:tblW w:type="dxa" w:w="9600"/>
        <w:tblBorders>
          <w:top w:val="single" w:color="BFBFBF" w:sz="4"/>
          <w:left w:val="single" w:color="BFBFBF" w:sz="4"/>
          <w:bottom w:val="single" w:color="BFBFBF" w:sz="4"/>
          <w:right w:val="single" w:color="BFBFBF" w:sz="4"/>
          <w:insideH w:val="single" w:color="D9D9D9" w:sz="2"/>
          <w:insideV w:val="single" w:color="D9D9D9" w:sz="2"/>
        </w:tblBorders>
      </w:tblPr>
      <w:tblGrid>
        <w:gridCol w:w="3600"/>
        <w:gridCol w:w="1000"/>
        <w:gridCol w:w="1000"/>
        <w:gridCol w:w="1000"/>
        <w:gridCol w:w="1000"/>
        <w:gridCol w:w="1000"/>
        <w:gridCol w:w="1000"/>
      </w:tblGrid>
      <w:tr>
        <w:trPr>
          <w:tblHeader/>
        </w:trPr>
        <w:tc>
          <w:tcPr>
            <w:tcW w:type="dxa" w:w="3600"/>
            <w:shd w:fill="1F3864"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color w:val="FFFFFF"/>
                <w:sz w:val="19"/>
                <w:szCs w:val="19"/>
              </w:rPr>
              <w:t xml:space="preserve">Concepto</w:t>
            </w:r>
          </w:p>
        </w:tc>
        <w:tc>
          <w:tcPr>
            <w:tcW w:type="dxa" w:w="1000"/>
            <w:shd w:fill="1F3864"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color w:val="FFFFFF"/>
                <w:sz w:val="19"/>
                <w:szCs w:val="19"/>
              </w:rPr>
              <w:t xml:space="preserve">S1</w:t>
            </w:r>
          </w:p>
        </w:tc>
        <w:tc>
          <w:tcPr>
            <w:tcW w:type="dxa" w:w="1000"/>
            <w:shd w:fill="1F3864"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color w:val="FFFFFF"/>
                <w:sz w:val="19"/>
                <w:szCs w:val="19"/>
              </w:rPr>
              <w:t xml:space="preserve">S2</w:t>
            </w:r>
          </w:p>
        </w:tc>
        <w:tc>
          <w:tcPr>
            <w:tcW w:type="dxa" w:w="1000"/>
            <w:shd w:fill="1F3864"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color w:val="FFFFFF"/>
                <w:sz w:val="19"/>
                <w:szCs w:val="19"/>
              </w:rPr>
              <w:t xml:space="preserve">S3</w:t>
            </w:r>
          </w:p>
        </w:tc>
        <w:tc>
          <w:tcPr>
            <w:tcW w:type="dxa" w:w="1000"/>
            <w:shd w:fill="1F3864"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color w:val="FFFFFF"/>
                <w:sz w:val="19"/>
                <w:szCs w:val="19"/>
              </w:rPr>
              <w:t xml:space="preserve">S4</w:t>
            </w:r>
          </w:p>
        </w:tc>
        <w:tc>
          <w:tcPr>
            <w:tcW w:type="dxa" w:w="1000"/>
            <w:shd w:fill="1F3864"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color w:val="FFFFFF"/>
                <w:sz w:val="19"/>
                <w:szCs w:val="19"/>
              </w:rPr>
              <w:t xml:space="preserve">S5</w:t>
            </w:r>
          </w:p>
        </w:tc>
        <w:tc>
          <w:tcPr>
            <w:tcW w:type="dxa" w:w="1000"/>
            <w:shd w:fill="1F3864"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color w:val="FFFFFF"/>
                <w:sz w:val="19"/>
                <w:szCs w:val="19"/>
              </w:rPr>
              <w:t xml:space="preserve">S6</w:t>
            </w:r>
          </w:p>
        </w:tc>
      </w:tr>
      <w:tr>
        <w:tc>
          <w:tcPr>
            <w:tcW w:type="dxa" w:w="3600"/>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sz w:val="19"/>
                <w:szCs w:val="19"/>
              </w:rPr>
              <w:t xml:space="preserve">(A) SALDO INICIAL</w:t>
            </w:r>
          </w:p>
        </w:tc>
        <w:tc>
          <w:tcPr>
            <w:tcW w:type="dxa" w:w="1000"/>
            <w:tcMar>
              <w:top w:type="dxa" w:w="60"/>
              <w:left w:type="dxa" w:w="90"/>
              <w:bottom w:type="dxa" w:w="60"/>
              <w:right w:type="dxa" w:w="90"/>
            </w:tcMar>
            <w:vAlign w:val="center"/>
          </w:tcPr>
          <w:p>
            <w:pPr>
              <w:spacing w:after="40" w:before="40" w:line="240"/>
              <w:jc w:val="left"/>
            </w:pPr>
          </w:p>
        </w:tc>
        <w:tc>
          <w:tcPr>
            <w:tcW w:type="dxa" w:w="1000"/>
            <w:tcMar>
              <w:top w:type="dxa" w:w="60"/>
              <w:left w:type="dxa" w:w="90"/>
              <w:bottom w:type="dxa" w:w="60"/>
              <w:right w:type="dxa" w:w="90"/>
            </w:tcMar>
            <w:vAlign w:val="center"/>
          </w:tcPr>
          <w:p>
            <w:pPr>
              <w:spacing w:after="40" w:before="40" w:line="240"/>
              <w:jc w:val="left"/>
            </w:pPr>
          </w:p>
        </w:tc>
        <w:tc>
          <w:tcPr>
            <w:tcW w:type="dxa" w:w="1000"/>
            <w:tcMar>
              <w:top w:type="dxa" w:w="60"/>
              <w:left w:type="dxa" w:w="90"/>
              <w:bottom w:type="dxa" w:w="60"/>
              <w:right w:type="dxa" w:w="90"/>
            </w:tcMar>
            <w:vAlign w:val="center"/>
          </w:tcPr>
          <w:p>
            <w:pPr>
              <w:spacing w:after="40" w:before="40" w:line="240"/>
              <w:jc w:val="left"/>
            </w:pPr>
          </w:p>
        </w:tc>
        <w:tc>
          <w:tcPr>
            <w:tcW w:type="dxa" w:w="1000"/>
            <w:tcMar>
              <w:top w:type="dxa" w:w="60"/>
              <w:left w:type="dxa" w:w="90"/>
              <w:bottom w:type="dxa" w:w="60"/>
              <w:right w:type="dxa" w:w="90"/>
            </w:tcMar>
            <w:vAlign w:val="center"/>
          </w:tcPr>
          <w:p>
            <w:pPr>
              <w:spacing w:after="40" w:before="40" w:line="240"/>
              <w:jc w:val="left"/>
            </w:pPr>
          </w:p>
        </w:tc>
        <w:tc>
          <w:tcPr>
            <w:tcW w:type="dxa" w:w="1000"/>
            <w:tcMar>
              <w:top w:type="dxa" w:w="60"/>
              <w:left w:type="dxa" w:w="90"/>
              <w:bottom w:type="dxa" w:w="60"/>
              <w:right w:type="dxa" w:w="90"/>
            </w:tcMar>
            <w:vAlign w:val="center"/>
          </w:tcPr>
          <w:p>
            <w:pPr>
              <w:spacing w:after="40" w:before="40" w:line="240"/>
              <w:jc w:val="left"/>
            </w:pPr>
          </w:p>
        </w:tc>
        <w:tc>
          <w:tcPr>
            <w:tcW w:type="dxa" w:w="1000"/>
            <w:tcMar>
              <w:top w:type="dxa" w:w="60"/>
              <w:left w:type="dxa" w:w="90"/>
              <w:bottom w:type="dxa" w:w="60"/>
              <w:right w:type="dxa" w:w="90"/>
            </w:tcMar>
            <w:vAlign w:val="center"/>
          </w:tcPr>
          <w:p>
            <w:pPr>
              <w:spacing w:after="40" w:before="40" w:line="240"/>
              <w:jc w:val="left"/>
            </w:pPr>
          </w:p>
        </w:tc>
      </w:tr>
      <w:tr>
        <w:tc>
          <w:tcPr>
            <w:tcW w:type="dxa" w:w="36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Cobros de clientes</w:t>
            </w:r>
          </w:p>
        </w:tc>
        <w:tc>
          <w:tcPr>
            <w:tcW w:type="dxa" w:w="1000"/>
            <w:shd w:fill="F2F2F2" w:color="auto" w:val="clear"/>
            <w:tcMar>
              <w:top w:type="dxa" w:w="60"/>
              <w:left w:type="dxa" w:w="90"/>
              <w:bottom w:type="dxa" w:w="60"/>
              <w:right w:type="dxa" w:w="90"/>
            </w:tcMar>
            <w:vAlign w:val="center"/>
          </w:tcPr>
          <w:p>
            <w:pPr>
              <w:spacing w:after="40" w:before="40" w:line="240"/>
              <w:jc w:val="left"/>
            </w:pPr>
          </w:p>
        </w:tc>
        <w:tc>
          <w:tcPr>
            <w:tcW w:type="dxa" w:w="1000"/>
            <w:shd w:fill="F2F2F2" w:color="auto" w:val="clear"/>
            <w:tcMar>
              <w:top w:type="dxa" w:w="60"/>
              <w:left w:type="dxa" w:w="90"/>
              <w:bottom w:type="dxa" w:w="60"/>
              <w:right w:type="dxa" w:w="90"/>
            </w:tcMar>
            <w:vAlign w:val="center"/>
          </w:tcPr>
          <w:p>
            <w:pPr>
              <w:spacing w:after="40" w:before="40" w:line="240"/>
              <w:jc w:val="left"/>
            </w:pPr>
          </w:p>
        </w:tc>
        <w:tc>
          <w:tcPr>
            <w:tcW w:type="dxa" w:w="1000"/>
            <w:shd w:fill="F2F2F2" w:color="auto" w:val="clear"/>
            <w:tcMar>
              <w:top w:type="dxa" w:w="60"/>
              <w:left w:type="dxa" w:w="90"/>
              <w:bottom w:type="dxa" w:w="60"/>
              <w:right w:type="dxa" w:w="90"/>
            </w:tcMar>
            <w:vAlign w:val="center"/>
          </w:tcPr>
          <w:p>
            <w:pPr>
              <w:spacing w:after="40" w:before="40" w:line="240"/>
              <w:jc w:val="left"/>
            </w:pPr>
          </w:p>
        </w:tc>
        <w:tc>
          <w:tcPr>
            <w:tcW w:type="dxa" w:w="1000"/>
            <w:shd w:fill="F2F2F2" w:color="auto" w:val="clear"/>
            <w:tcMar>
              <w:top w:type="dxa" w:w="60"/>
              <w:left w:type="dxa" w:w="90"/>
              <w:bottom w:type="dxa" w:w="60"/>
              <w:right w:type="dxa" w:w="90"/>
            </w:tcMar>
            <w:vAlign w:val="center"/>
          </w:tcPr>
          <w:p>
            <w:pPr>
              <w:spacing w:after="40" w:before="40" w:line="240"/>
              <w:jc w:val="left"/>
            </w:pPr>
          </w:p>
        </w:tc>
        <w:tc>
          <w:tcPr>
            <w:tcW w:type="dxa" w:w="1000"/>
            <w:shd w:fill="F2F2F2" w:color="auto" w:val="clear"/>
            <w:tcMar>
              <w:top w:type="dxa" w:w="60"/>
              <w:left w:type="dxa" w:w="90"/>
              <w:bottom w:type="dxa" w:w="60"/>
              <w:right w:type="dxa" w:w="90"/>
            </w:tcMar>
            <w:vAlign w:val="center"/>
          </w:tcPr>
          <w:p>
            <w:pPr>
              <w:spacing w:after="40" w:before="40" w:line="240"/>
              <w:jc w:val="left"/>
            </w:pPr>
          </w:p>
        </w:tc>
        <w:tc>
          <w:tcPr>
            <w:tcW w:type="dxa" w:w="1000"/>
            <w:shd w:fill="F2F2F2" w:color="auto" w:val="clear"/>
            <w:tcMar>
              <w:top w:type="dxa" w:w="60"/>
              <w:left w:type="dxa" w:w="90"/>
              <w:bottom w:type="dxa" w:w="60"/>
              <w:right w:type="dxa" w:w="90"/>
            </w:tcMar>
            <w:vAlign w:val="center"/>
          </w:tcPr>
          <w:p>
            <w:pPr>
              <w:spacing w:after="40" w:before="40" w:line="240"/>
              <w:jc w:val="left"/>
            </w:pPr>
          </w:p>
        </w:tc>
      </w:tr>
      <w:tr>
        <w:tc>
          <w:tcPr>
            <w:tcW w:type="dxa" w:w="3600"/>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Anticipo de facturas / factoring</w:t>
            </w:r>
          </w:p>
        </w:tc>
        <w:tc>
          <w:tcPr>
            <w:tcW w:type="dxa" w:w="1000"/>
            <w:tcMar>
              <w:top w:type="dxa" w:w="60"/>
              <w:left w:type="dxa" w:w="90"/>
              <w:bottom w:type="dxa" w:w="60"/>
              <w:right w:type="dxa" w:w="90"/>
            </w:tcMar>
            <w:vAlign w:val="center"/>
          </w:tcPr>
          <w:p>
            <w:pPr>
              <w:spacing w:after="40" w:before="40" w:line="240"/>
              <w:jc w:val="left"/>
            </w:pPr>
          </w:p>
        </w:tc>
        <w:tc>
          <w:tcPr>
            <w:tcW w:type="dxa" w:w="1000"/>
            <w:tcMar>
              <w:top w:type="dxa" w:w="60"/>
              <w:left w:type="dxa" w:w="90"/>
              <w:bottom w:type="dxa" w:w="60"/>
              <w:right w:type="dxa" w:w="90"/>
            </w:tcMar>
            <w:vAlign w:val="center"/>
          </w:tcPr>
          <w:p>
            <w:pPr>
              <w:spacing w:after="40" w:before="40" w:line="240"/>
              <w:jc w:val="left"/>
            </w:pPr>
          </w:p>
        </w:tc>
        <w:tc>
          <w:tcPr>
            <w:tcW w:type="dxa" w:w="1000"/>
            <w:tcMar>
              <w:top w:type="dxa" w:w="60"/>
              <w:left w:type="dxa" w:w="90"/>
              <w:bottom w:type="dxa" w:w="60"/>
              <w:right w:type="dxa" w:w="90"/>
            </w:tcMar>
            <w:vAlign w:val="center"/>
          </w:tcPr>
          <w:p>
            <w:pPr>
              <w:spacing w:after="40" w:before="40" w:line="240"/>
              <w:jc w:val="left"/>
            </w:pPr>
          </w:p>
        </w:tc>
        <w:tc>
          <w:tcPr>
            <w:tcW w:type="dxa" w:w="1000"/>
            <w:tcMar>
              <w:top w:type="dxa" w:w="60"/>
              <w:left w:type="dxa" w:w="90"/>
              <w:bottom w:type="dxa" w:w="60"/>
              <w:right w:type="dxa" w:w="90"/>
            </w:tcMar>
            <w:vAlign w:val="center"/>
          </w:tcPr>
          <w:p>
            <w:pPr>
              <w:spacing w:after="40" w:before="40" w:line="240"/>
              <w:jc w:val="left"/>
            </w:pPr>
          </w:p>
        </w:tc>
        <w:tc>
          <w:tcPr>
            <w:tcW w:type="dxa" w:w="1000"/>
            <w:tcMar>
              <w:top w:type="dxa" w:w="60"/>
              <w:left w:type="dxa" w:w="90"/>
              <w:bottom w:type="dxa" w:w="60"/>
              <w:right w:type="dxa" w:w="90"/>
            </w:tcMar>
            <w:vAlign w:val="center"/>
          </w:tcPr>
          <w:p>
            <w:pPr>
              <w:spacing w:after="40" w:before="40" w:line="240"/>
              <w:jc w:val="left"/>
            </w:pPr>
          </w:p>
        </w:tc>
        <w:tc>
          <w:tcPr>
            <w:tcW w:type="dxa" w:w="1000"/>
            <w:tcMar>
              <w:top w:type="dxa" w:w="60"/>
              <w:left w:type="dxa" w:w="90"/>
              <w:bottom w:type="dxa" w:w="60"/>
              <w:right w:type="dxa" w:w="90"/>
            </w:tcMar>
            <w:vAlign w:val="center"/>
          </w:tcPr>
          <w:p>
            <w:pPr>
              <w:spacing w:after="40" w:before="40" w:line="240"/>
              <w:jc w:val="left"/>
            </w:pPr>
          </w:p>
        </w:tc>
      </w:tr>
      <w:tr>
        <w:tc>
          <w:tcPr>
            <w:tcW w:type="dxa" w:w="36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Devoluciones AEAT y ayudas</w:t>
            </w:r>
          </w:p>
        </w:tc>
        <w:tc>
          <w:tcPr>
            <w:tcW w:type="dxa" w:w="1000"/>
            <w:shd w:fill="F2F2F2" w:color="auto" w:val="clear"/>
            <w:tcMar>
              <w:top w:type="dxa" w:w="60"/>
              <w:left w:type="dxa" w:w="90"/>
              <w:bottom w:type="dxa" w:w="60"/>
              <w:right w:type="dxa" w:w="90"/>
            </w:tcMar>
            <w:vAlign w:val="center"/>
          </w:tcPr>
          <w:p>
            <w:pPr>
              <w:spacing w:after="40" w:before="40" w:line="240"/>
              <w:jc w:val="left"/>
            </w:pPr>
          </w:p>
        </w:tc>
        <w:tc>
          <w:tcPr>
            <w:tcW w:type="dxa" w:w="1000"/>
            <w:shd w:fill="F2F2F2" w:color="auto" w:val="clear"/>
            <w:tcMar>
              <w:top w:type="dxa" w:w="60"/>
              <w:left w:type="dxa" w:w="90"/>
              <w:bottom w:type="dxa" w:w="60"/>
              <w:right w:type="dxa" w:w="90"/>
            </w:tcMar>
            <w:vAlign w:val="center"/>
          </w:tcPr>
          <w:p>
            <w:pPr>
              <w:spacing w:after="40" w:before="40" w:line="240"/>
              <w:jc w:val="left"/>
            </w:pPr>
          </w:p>
        </w:tc>
        <w:tc>
          <w:tcPr>
            <w:tcW w:type="dxa" w:w="1000"/>
            <w:shd w:fill="F2F2F2" w:color="auto" w:val="clear"/>
            <w:tcMar>
              <w:top w:type="dxa" w:w="60"/>
              <w:left w:type="dxa" w:w="90"/>
              <w:bottom w:type="dxa" w:w="60"/>
              <w:right w:type="dxa" w:w="90"/>
            </w:tcMar>
            <w:vAlign w:val="center"/>
          </w:tcPr>
          <w:p>
            <w:pPr>
              <w:spacing w:after="40" w:before="40" w:line="240"/>
              <w:jc w:val="left"/>
            </w:pPr>
          </w:p>
        </w:tc>
        <w:tc>
          <w:tcPr>
            <w:tcW w:type="dxa" w:w="1000"/>
            <w:shd w:fill="F2F2F2" w:color="auto" w:val="clear"/>
            <w:tcMar>
              <w:top w:type="dxa" w:w="60"/>
              <w:left w:type="dxa" w:w="90"/>
              <w:bottom w:type="dxa" w:w="60"/>
              <w:right w:type="dxa" w:w="90"/>
            </w:tcMar>
            <w:vAlign w:val="center"/>
          </w:tcPr>
          <w:p>
            <w:pPr>
              <w:spacing w:after="40" w:before="40" w:line="240"/>
              <w:jc w:val="left"/>
            </w:pPr>
          </w:p>
        </w:tc>
        <w:tc>
          <w:tcPr>
            <w:tcW w:type="dxa" w:w="1000"/>
            <w:shd w:fill="F2F2F2" w:color="auto" w:val="clear"/>
            <w:tcMar>
              <w:top w:type="dxa" w:w="60"/>
              <w:left w:type="dxa" w:w="90"/>
              <w:bottom w:type="dxa" w:w="60"/>
              <w:right w:type="dxa" w:w="90"/>
            </w:tcMar>
            <w:vAlign w:val="center"/>
          </w:tcPr>
          <w:p>
            <w:pPr>
              <w:spacing w:after="40" w:before="40" w:line="240"/>
              <w:jc w:val="left"/>
            </w:pPr>
          </w:p>
        </w:tc>
        <w:tc>
          <w:tcPr>
            <w:tcW w:type="dxa" w:w="1000"/>
            <w:shd w:fill="F2F2F2" w:color="auto" w:val="clear"/>
            <w:tcMar>
              <w:top w:type="dxa" w:w="60"/>
              <w:left w:type="dxa" w:w="90"/>
              <w:bottom w:type="dxa" w:w="60"/>
              <w:right w:type="dxa" w:w="90"/>
            </w:tcMar>
            <w:vAlign w:val="center"/>
          </w:tcPr>
          <w:p>
            <w:pPr>
              <w:spacing w:after="40" w:before="40" w:line="240"/>
              <w:jc w:val="left"/>
            </w:pPr>
          </w:p>
        </w:tc>
      </w:tr>
      <w:tr>
        <w:tc>
          <w:tcPr>
            <w:tcW w:type="dxa" w:w="3600"/>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sz w:val="19"/>
                <w:szCs w:val="19"/>
              </w:rPr>
              <w:t xml:space="preserve">(B) TOTAL COBROS</w:t>
            </w:r>
          </w:p>
        </w:tc>
        <w:tc>
          <w:tcPr>
            <w:tcW w:type="dxa" w:w="1000"/>
            <w:tcMar>
              <w:top w:type="dxa" w:w="60"/>
              <w:left w:type="dxa" w:w="90"/>
              <w:bottom w:type="dxa" w:w="60"/>
              <w:right w:type="dxa" w:w="90"/>
            </w:tcMar>
            <w:vAlign w:val="center"/>
          </w:tcPr>
          <w:p>
            <w:pPr>
              <w:spacing w:after="40" w:before="40" w:line="240"/>
              <w:jc w:val="left"/>
            </w:pPr>
          </w:p>
        </w:tc>
        <w:tc>
          <w:tcPr>
            <w:tcW w:type="dxa" w:w="1000"/>
            <w:tcMar>
              <w:top w:type="dxa" w:w="60"/>
              <w:left w:type="dxa" w:w="90"/>
              <w:bottom w:type="dxa" w:w="60"/>
              <w:right w:type="dxa" w:w="90"/>
            </w:tcMar>
            <w:vAlign w:val="center"/>
          </w:tcPr>
          <w:p>
            <w:pPr>
              <w:spacing w:after="40" w:before="40" w:line="240"/>
              <w:jc w:val="left"/>
            </w:pPr>
          </w:p>
        </w:tc>
        <w:tc>
          <w:tcPr>
            <w:tcW w:type="dxa" w:w="1000"/>
            <w:tcMar>
              <w:top w:type="dxa" w:w="60"/>
              <w:left w:type="dxa" w:w="90"/>
              <w:bottom w:type="dxa" w:w="60"/>
              <w:right w:type="dxa" w:w="90"/>
            </w:tcMar>
            <w:vAlign w:val="center"/>
          </w:tcPr>
          <w:p>
            <w:pPr>
              <w:spacing w:after="40" w:before="40" w:line="240"/>
              <w:jc w:val="left"/>
            </w:pPr>
          </w:p>
        </w:tc>
        <w:tc>
          <w:tcPr>
            <w:tcW w:type="dxa" w:w="1000"/>
            <w:tcMar>
              <w:top w:type="dxa" w:w="60"/>
              <w:left w:type="dxa" w:w="90"/>
              <w:bottom w:type="dxa" w:w="60"/>
              <w:right w:type="dxa" w:w="90"/>
            </w:tcMar>
            <w:vAlign w:val="center"/>
          </w:tcPr>
          <w:p>
            <w:pPr>
              <w:spacing w:after="40" w:before="40" w:line="240"/>
              <w:jc w:val="left"/>
            </w:pPr>
          </w:p>
        </w:tc>
        <w:tc>
          <w:tcPr>
            <w:tcW w:type="dxa" w:w="1000"/>
            <w:tcMar>
              <w:top w:type="dxa" w:w="60"/>
              <w:left w:type="dxa" w:w="90"/>
              <w:bottom w:type="dxa" w:w="60"/>
              <w:right w:type="dxa" w:w="90"/>
            </w:tcMar>
            <w:vAlign w:val="center"/>
          </w:tcPr>
          <w:p>
            <w:pPr>
              <w:spacing w:after="40" w:before="40" w:line="240"/>
              <w:jc w:val="left"/>
            </w:pPr>
          </w:p>
        </w:tc>
        <w:tc>
          <w:tcPr>
            <w:tcW w:type="dxa" w:w="1000"/>
            <w:tcMar>
              <w:top w:type="dxa" w:w="60"/>
              <w:left w:type="dxa" w:w="90"/>
              <w:bottom w:type="dxa" w:w="60"/>
              <w:right w:type="dxa" w:w="90"/>
            </w:tcMar>
            <w:vAlign w:val="center"/>
          </w:tcPr>
          <w:p>
            <w:pPr>
              <w:spacing w:after="40" w:before="40" w:line="240"/>
              <w:jc w:val="left"/>
            </w:pPr>
          </w:p>
        </w:tc>
      </w:tr>
      <w:tr>
        <w:tc>
          <w:tcPr>
            <w:tcW w:type="dxa" w:w="36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Gasoil</w:t>
            </w:r>
          </w:p>
        </w:tc>
        <w:tc>
          <w:tcPr>
            <w:tcW w:type="dxa" w:w="1000"/>
            <w:shd w:fill="F2F2F2" w:color="auto" w:val="clear"/>
            <w:tcMar>
              <w:top w:type="dxa" w:w="60"/>
              <w:left w:type="dxa" w:w="90"/>
              <w:bottom w:type="dxa" w:w="60"/>
              <w:right w:type="dxa" w:w="90"/>
            </w:tcMar>
            <w:vAlign w:val="center"/>
          </w:tcPr>
          <w:p>
            <w:pPr>
              <w:spacing w:after="40" w:before="40" w:line="240"/>
              <w:jc w:val="left"/>
            </w:pPr>
          </w:p>
        </w:tc>
        <w:tc>
          <w:tcPr>
            <w:tcW w:type="dxa" w:w="1000"/>
            <w:shd w:fill="F2F2F2" w:color="auto" w:val="clear"/>
            <w:tcMar>
              <w:top w:type="dxa" w:w="60"/>
              <w:left w:type="dxa" w:w="90"/>
              <w:bottom w:type="dxa" w:w="60"/>
              <w:right w:type="dxa" w:w="90"/>
            </w:tcMar>
            <w:vAlign w:val="center"/>
          </w:tcPr>
          <w:p>
            <w:pPr>
              <w:spacing w:after="40" w:before="40" w:line="240"/>
              <w:jc w:val="left"/>
            </w:pPr>
          </w:p>
        </w:tc>
        <w:tc>
          <w:tcPr>
            <w:tcW w:type="dxa" w:w="1000"/>
            <w:shd w:fill="F2F2F2" w:color="auto" w:val="clear"/>
            <w:tcMar>
              <w:top w:type="dxa" w:w="60"/>
              <w:left w:type="dxa" w:w="90"/>
              <w:bottom w:type="dxa" w:w="60"/>
              <w:right w:type="dxa" w:w="90"/>
            </w:tcMar>
            <w:vAlign w:val="center"/>
          </w:tcPr>
          <w:p>
            <w:pPr>
              <w:spacing w:after="40" w:before="40" w:line="240"/>
              <w:jc w:val="left"/>
            </w:pPr>
          </w:p>
        </w:tc>
        <w:tc>
          <w:tcPr>
            <w:tcW w:type="dxa" w:w="1000"/>
            <w:shd w:fill="F2F2F2" w:color="auto" w:val="clear"/>
            <w:tcMar>
              <w:top w:type="dxa" w:w="60"/>
              <w:left w:type="dxa" w:w="90"/>
              <w:bottom w:type="dxa" w:w="60"/>
              <w:right w:type="dxa" w:w="90"/>
            </w:tcMar>
            <w:vAlign w:val="center"/>
          </w:tcPr>
          <w:p>
            <w:pPr>
              <w:spacing w:after="40" w:before="40" w:line="240"/>
              <w:jc w:val="left"/>
            </w:pPr>
          </w:p>
        </w:tc>
        <w:tc>
          <w:tcPr>
            <w:tcW w:type="dxa" w:w="1000"/>
            <w:shd w:fill="F2F2F2" w:color="auto" w:val="clear"/>
            <w:tcMar>
              <w:top w:type="dxa" w:w="60"/>
              <w:left w:type="dxa" w:w="90"/>
              <w:bottom w:type="dxa" w:w="60"/>
              <w:right w:type="dxa" w:w="90"/>
            </w:tcMar>
            <w:vAlign w:val="center"/>
          </w:tcPr>
          <w:p>
            <w:pPr>
              <w:spacing w:after="40" w:before="40" w:line="240"/>
              <w:jc w:val="left"/>
            </w:pPr>
          </w:p>
        </w:tc>
        <w:tc>
          <w:tcPr>
            <w:tcW w:type="dxa" w:w="1000"/>
            <w:shd w:fill="F2F2F2" w:color="auto" w:val="clear"/>
            <w:tcMar>
              <w:top w:type="dxa" w:w="60"/>
              <w:left w:type="dxa" w:w="90"/>
              <w:bottom w:type="dxa" w:w="60"/>
              <w:right w:type="dxa" w:w="90"/>
            </w:tcMar>
            <w:vAlign w:val="center"/>
          </w:tcPr>
          <w:p>
            <w:pPr>
              <w:spacing w:after="40" w:before="40" w:line="240"/>
              <w:jc w:val="left"/>
            </w:pPr>
          </w:p>
        </w:tc>
      </w:tr>
      <w:tr>
        <w:tc>
          <w:tcPr>
            <w:tcW w:type="dxa" w:w="3600"/>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Nóminas</w:t>
            </w:r>
          </w:p>
        </w:tc>
        <w:tc>
          <w:tcPr>
            <w:tcW w:type="dxa" w:w="1000"/>
            <w:tcMar>
              <w:top w:type="dxa" w:w="60"/>
              <w:left w:type="dxa" w:w="90"/>
              <w:bottom w:type="dxa" w:w="60"/>
              <w:right w:type="dxa" w:w="90"/>
            </w:tcMar>
            <w:vAlign w:val="center"/>
          </w:tcPr>
          <w:p>
            <w:pPr>
              <w:spacing w:after="40" w:before="40" w:line="240"/>
              <w:jc w:val="left"/>
            </w:pPr>
          </w:p>
        </w:tc>
        <w:tc>
          <w:tcPr>
            <w:tcW w:type="dxa" w:w="1000"/>
            <w:tcMar>
              <w:top w:type="dxa" w:w="60"/>
              <w:left w:type="dxa" w:w="90"/>
              <w:bottom w:type="dxa" w:w="60"/>
              <w:right w:type="dxa" w:w="90"/>
            </w:tcMar>
            <w:vAlign w:val="center"/>
          </w:tcPr>
          <w:p>
            <w:pPr>
              <w:spacing w:after="40" w:before="40" w:line="240"/>
              <w:jc w:val="left"/>
            </w:pPr>
          </w:p>
        </w:tc>
        <w:tc>
          <w:tcPr>
            <w:tcW w:type="dxa" w:w="1000"/>
            <w:tcMar>
              <w:top w:type="dxa" w:w="60"/>
              <w:left w:type="dxa" w:w="90"/>
              <w:bottom w:type="dxa" w:w="60"/>
              <w:right w:type="dxa" w:w="90"/>
            </w:tcMar>
            <w:vAlign w:val="center"/>
          </w:tcPr>
          <w:p>
            <w:pPr>
              <w:spacing w:after="40" w:before="40" w:line="240"/>
              <w:jc w:val="left"/>
            </w:pPr>
          </w:p>
        </w:tc>
        <w:tc>
          <w:tcPr>
            <w:tcW w:type="dxa" w:w="1000"/>
            <w:tcMar>
              <w:top w:type="dxa" w:w="60"/>
              <w:left w:type="dxa" w:w="90"/>
              <w:bottom w:type="dxa" w:w="60"/>
              <w:right w:type="dxa" w:w="90"/>
            </w:tcMar>
            <w:vAlign w:val="center"/>
          </w:tcPr>
          <w:p>
            <w:pPr>
              <w:spacing w:after="40" w:before="40" w:line="240"/>
              <w:jc w:val="left"/>
            </w:pPr>
          </w:p>
        </w:tc>
        <w:tc>
          <w:tcPr>
            <w:tcW w:type="dxa" w:w="1000"/>
            <w:tcMar>
              <w:top w:type="dxa" w:w="60"/>
              <w:left w:type="dxa" w:w="90"/>
              <w:bottom w:type="dxa" w:w="60"/>
              <w:right w:type="dxa" w:w="90"/>
            </w:tcMar>
            <w:vAlign w:val="center"/>
          </w:tcPr>
          <w:p>
            <w:pPr>
              <w:spacing w:after="40" w:before="40" w:line="240"/>
              <w:jc w:val="left"/>
            </w:pPr>
          </w:p>
        </w:tc>
        <w:tc>
          <w:tcPr>
            <w:tcW w:type="dxa" w:w="1000"/>
            <w:tcMar>
              <w:top w:type="dxa" w:w="60"/>
              <w:left w:type="dxa" w:w="90"/>
              <w:bottom w:type="dxa" w:w="60"/>
              <w:right w:type="dxa" w:w="90"/>
            </w:tcMar>
            <w:vAlign w:val="center"/>
          </w:tcPr>
          <w:p>
            <w:pPr>
              <w:spacing w:after="40" w:before="40" w:line="240"/>
              <w:jc w:val="left"/>
            </w:pPr>
          </w:p>
        </w:tc>
      </w:tr>
      <w:tr>
        <w:tc>
          <w:tcPr>
            <w:tcW w:type="dxa" w:w="36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Seguridad Social</w:t>
            </w:r>
          </w:p>
        </w:tc>
        <w:tc>
          <w:tcPr>
            <w:tcW w:type="dxa" w:w="1000"/>
            <w:shd w:fill="F2F2F2" w:color="auto" w:val="clear"/>
            <w:tcMar>
              <w:top w:type="dxa" w:w="60"/>
              <w:left w:type="dxa" w:w="90"/>
              <w:bottom w:type="dxa" w:w="60"/>
              <w:right w:type="dxa" w:w="90"/>
            </w:tcMar>
            <w:vAlign w:val="center"/>
          </w:tcPr>
          <w:p>
            <w:pPr>
              <w:spacing w:after="40" w:before="40" w:line="240"/>
              <w:jc w:val="left"/>
            </w:pPr>
          </w:p>
        </w:tc>
        <w:tc>
          <w:tcPr>
            <w:tcW w:type="dxa" w:w="1000"/>
            <w:shd w:fill="F2F2F2" w:color="auto" w:val="clear"/>
            <w:tcMar>
              <w:top w:type="dxa" w:w="60"/>
              <w:left w:type="dxa" w:w="90"/>
              <w:bottom w:type="dxa" w:w="60"/>
              <w:right w:type="dxa" w:w="90"/>
            </w:tcMar>
            <w:vAlign w:val="center"/>
          </w:tcPr>
          <w:p>
            <w:pPr>
              <w:spacing w:after="40" w:before="40" w:line="240"/>
              <w:jc w:val="left"/>
            </w:pPr>
          </w:p>
        </w:tc>
        <w:tc>
          <w:tcPr>
            <w:tcW w:type="dxa" w:w="1000"/>
            <w:shd w:fill="F2F2F2" w:color="auto" w:val="clear"/>
            <w:tcMar>
              <w:top w:type="dxa" w:w="60"/>
              <w:left w:type="dxa" w:w="90"/>
              <w:bottom w:type="dxa" w:w="60"/>
              <w:right w:type="dxa" w:w="90"/>
            </w:tcMar>
            <w:vAlign w:val="center"/>
          </w:tcPr>
          <w:p>
            <w:pPr>
              <w:spacing w:after="40" w:before="40" w:line="240"/>
              <w:jc w:val="left"/>
            </w:pPr>
          </w:p>
        </w:tc>
        <w:tc>
          <w:tcPr>
            <w:tcW w:type="dxa" w:w="1000"/>
            <w:shd w:fill="F2F2F2" w:color="auto" w:val="clear"/>
            <w:tcMar>
              <w:top w:type="dxa" w:w="60"/>
              <w:left w:type="dxa" w:w="90"/>
              <w:bottom w:type="dxa" w:w="60"/>
              <w:right w:type="dxa" w:w="90"/>
            </w:tcMar>
            <w:vAlign w:val="center"/>
          </w:tcPr>
          <w:p>
            <w:pPr>
              <w:spacing w:after="40" w:before="40" w:line="240"/>
              <w:jc w:val="left"/>
            </w:pPr>
          </w:p>
        </w:tc>
        <w:tc>
          <w:tcPr>
            <w:tcW w:type="dxa" w:w="1000"/>
            <w:shd w:fill="F2F2F2" w:color="auto" w:val="clear"/>
            <w:tcMar>
              <w:top w:type="dxa" w:w="60"/>
              <w:left w:type="dxa" w:w="90"/>
              <w:bottom w:type="dxa" w:w="60"/>
              <w:right w:type="dxa" w:w="90"/>
            </w:tcMar>
            <w:vAlign w:val="center"/>
          </w:tcPr>
          <w:p>
            <w:pPr>
              <w:spacing w:after="40" w:before="40" w:line="240"/>
              <w:jc w:val="left"/>
            </w:pPr>
          </w:p>
        </w:tc>
        <w:tc>
          <w:tcPr>
            <w:tcW w:type="dxa" w:w="1000"/>
            <w:shd w:fill="F2F2F2" w:color="auto" w:val="clear"/>
            <w:tcMar>
              <w:top w:type="dxa" w:w="60"/>
              <w:left w:type="dxa" w:w="90"/>
              <w:bottom w:type="dxa" w:w="60"/>
              <w:right w:type="dxa" w:w="90"/>
            </w:tcMar>
            <w:vAlign w:val="center"/>
          </w:tcPr>
          <w:p>
            <w:pPr>
              <w:spacing w:after="40" w:before="40" w:line="240"/>
              <w:jc w:val="left"/>
            </w:pPr>
          </w:p>
        </w:tc>
      </w:tr>
      <w:tr>
        <w:tc>
          <w:tcPr>
            <w:tcW w:type="dxa" w:w="3600"/>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Peajes y dietas</w:t>
            </w:r>
          </w:p>
        </w:tc>
        <w:tc>
          <w:tcPr>
            <w:tcW w:type="dxa" w:w="1000"/>
            <w:tcMar>
              <w:top w:type="dxa" w:w="60"/>
              <w:left w:type="dxa" w:w="90"/>
              <w:bottom w:type="dxa" w:w="60"/>
              <w:right w:type="dxa" w:w="90"/>
            </w:tcMar>
            <w:vAlign w:val="center"/>
          </w:tcPr>
          <w:p>
            <w:pPr>
              <w:spacing w:after="40" w:before="40" w:line="240"/>
              <w:jc w:val="left"/>
            </w:pPr>
          </w:p>
        </w:tc>
        <w:tc>
          <w:tcPr>
            <w:tcW w:type="dxa" w:w="1000"/>
            <w:tcMar>
              <w:top w:type="dxa" w:w="60"/>
              <w:left w:type="dxa" w:w="90"/>
              <w:bottom w:type="dxa" w:w="60"/>
              <w:right w:type="dxa" w:w="90"/>
            </w:tcMar>
            <w:vAlign w:val="center"/>
          </w:tcPr>
          <w:p>
            <w:pPr>
              <w:spacing w:after="40" w:before="40" w:line="240"/>
              <w:jc w:val="left"/>
            </w:pPr>
          </w:p>
        </w:tc>
        <w:tc>
          <w:tcPr>
            <w:tcW w:type="dxa" w:w="1000"/>
            <w:tcMar>
              <w:top w:type="dxa" w:w="60"/>
              <w:left w:type="dxa" w:w="90"/>
              <w:bottom w:type="dxa" w:w="60"/>
              <w:right w:type="dxa" w:w="90"/>
            </w:tcMar>
            <w:vAlign w:val="center"/>
          </w:tcPr>
          <w:p>
            <w:pPr>
              <w:spacing w:after="40" w:before="40" w:line="240"/>
              <w:jc w:val="left"/>
            </w:pPr>
          </w:p>
        </w:tc>
        <w:tc>
          <w:tcPr>
            <w:tcW w:type="dxa" w:w="1000"/>
            <w:tcMar>
              <w:top w:type="dxa" w:w="60"/>
              <w:left w:type="dxa" w:w="90"/>
              <w:bottom w:type="dxa" w:w="60"/>
              <w:right w:type="dxa" w:w="90"/>
            </w:tcMar>
            <w:vAlign w:val="center"/>
          </w:tcPr>
          <w:p>
            <w:pPr>
              <w:spacing w:after="40" w:before="40" w:line="240"/>
              <w:jc w:val="left"/>
            </w:pPr>
          </w:p>
        </w:tc>
        <w:tc>
          <w:tcPr>
            <w:tcW w:type="dxa" w:w="1000"/>
            <w:tcMar>
              <w:top w:type="dxa" w:w="60"/>
              <w:left w:type="dxa" w:w="90"/>
              <w:bottom w:type="dxa" w:w="60"/>
              <w:right w:type="dxa" w:w="90"/>
            </w:tcMar>
            <w:vAlign w:val="center"/>
          </w:tcPr>
          <w:p>
            <w:pPr>
              <w:spacing w:after="40" w:before="40" w:line="240"/>
              <w:jc w:val="left"/>
            </w:pPr>
          </w:p>
        </w:tc>
        <w:tc>
          <w:tcPr>
            <w:tcW w:type="dxa" w:w="1000"/>
            <w:tcMar>
              <w:top w:type="dxa" w:w="60"/>
              <w:left w:type="dxa" w:w="90"/>
              <w:bottom w:type="dxa" w:w="60"/>
              <w:right w:type="dxa" w:w="90"/>
            </w:tcMar>
            <w:vAlign w:val="center"/>
          </w:tcPr>
          <w:p>
            <w:pPr>
              <w:spacing w:after="40" w:before="40" w:line="240"/>
              <w:jc w:val="left"/>
            </w:pPr>
          </w:p>
        </w:tc>
      </w:tr>
      <w:tr>
        <w:tc>
          <w:tcPr>
            <w:tcW w:type="dxa" w:w="36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Mantenimiento y neumáticos</w:t>
            </w:r>
          </w:p>
        </w:tc>
        <w:tc>
          <w:tcPr>
            <w:tcW w:type="dxa" w:w="1000"/>
            <w:shd w:fill="F2F2F2" w:color="auto" w:val="clear"/>
            <w:tcMar>
              <w:top w:type="dxa" w:w="60"/>
              <w:left w:type="dxa" w:w="90"/>
              <w:bottom w:type="dxa" w:w="60"/>
              <w:right w:type="dxa" w:w="90"/>
            </w:tcMar>
            <w:vAlign w:val="center"/>
          </w:tcPr>
          <w:p>
            <w:pPr>
              <w:spacing w:after="40" w:before="40" w:line="240"/>
              <w:jc w:val="left"/>
            </w:pPr>
          </w:p>
        </w:tc>
        <w:tc>
          <w:tcPr>
            <w:tcW w:type="dxa" w:w="1000"/>
            <w:shd w:fill="F2F2F2" w:color="auto" w:val="clear"/>
            <w:tcMar>
              <w:top w:type="dxa" w:w="60"/>
              <w:left w:type="dxa" w:w="90"/>
              <w:bottom w:type="dxa" w:w="60"/>
              <w:right w:type="dxa" w:w="90"/>
            </w:tcMar>
            <w:vAlign w:val="center"/>
          </w:tcPr>
          <w:p>
            <w:pPr>
              <w:spacing w:after="40" w:before="40" w:line="240"/>
              <w:jc w:val="left"/>
            </w:pPr>
          </w:p>
        </w:tc>
        <w:tc>
          <w:tcPr>
            <w:tcW w:type="dxa" w:w="1000"/>
            <w:shd w:fill="F2F2F2" w:color="auto" w:val="clear"/>
            <w:tcMar>
              <w:top w:type="dxa" w:w="60"/>
              <w:left w:type="dxa" w:w="90"/>
              <w:bottom w:type="dxa" w:w="60"/>
              <w:right w:type="dxa" w:w="90"/>
            </w:tcMar>
            <w:vAlign w:val="center"/>
          </w:tcPr>
          <w:p>
            <w:pPr>
              <w:spacing w:after="40" w:before="40" w:line="240"/>
              <w:jc w:val="left"/>
            </w:pPr>
          </w:p>
        </w:tc>
        <w:tc>
          <w:tcPr>
            <w:tcW w:type="dxa" w:w="1000"/>
            <w:shd w:fill="F2F2F2" w:color="auto" w:val="clear"/>
            <w:tcMar>
              <w:top w:type="dxa" w:w="60"/>
              <w:left w:type="dxa" w:w="90"/>
              <w:bottom w:type="dxa" w:w="60"/>
              <w:right w:type="dxa" w:w="90"/>
            </w:tcMar>
            <w:vAlign w:val="center"/>
          </w:tcPr>
          <w:p>
            <w:pPr>
              <w:spacing w:after="40" w:before="40" w:line="240"/>
              <w:jc w:val="left"/>
            </w:pPr>
          </w:p>
        </w:tc>
        <w:tc>
          <w:tcPr>
            <w:tcW w:type="dxa" w:w="1000"/>
            <w:shd w:fill="F2F2F2" w:color="auto" w:val="clear"/>
            <w:tcMar>
              <w:top w:type="dxa" w:w="60"/>
              <w:left w:type="dxa" w:w="90"/>
              <w:bottom w:type="dxa" w:w="60"/>
              <w:right w:type="dxa" w:w="90"/>
            </w:tcMar>
            <w:vAlign w:val="center"/>
          </w:tcPr>
          <w:p>
            <w:pPr>
              <w:spacing w:after="40" w:before="40" w:line="240"/>
              <w:jc w:val="left"/>
            </w:pPr>
          </w:p>
        </w:tc>
        <w:tc>
          <w:tcPr>
            <w:tcW w:type="dxa" w:w="1000"/>
            <w:shd w:fill="F2F2F2" w:color="auto" w:val="clear"/>
            <w:tcMar>
              <w:top w:type="dxa" w:w="60"/>
              <w:left w:type="dxa" w:w="90"/>
              <w:bottom w:type="dxa" w:w="60"/>
              <w:right w:type="dxa" w:w="90"/>
            </w:tcMar>
            <w:vAlign w:val="center"/>
          </w:tcPr>
          <w:p>
            <w:pPr>
              <w:spacing w:after="40" w:before="40" w:line="240"/>
              <w:jc w:val="left"/>
            </w:pPr>
          </w:p>
        </w:tc>
      </w:tr>
      <w:tr>
        <w:tc>
          <w:tcPr>
            <w:tcW w:type="dxa" w:w="3600"/>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Seguros</w:t>
            </w:r>
          </w:p>
        </w:tc>
        <w:tc>
          <w:tcPr>
            <w:tcW w:type="dxa" w:w="1000"/>
            <w:tcMar>
              <w:top w:type="dxa" w:w="60"/>
              <w:left w:type="dxa" w:w="90"/>
              <w:bottom w:type="dxa" w:w="60"/>
              <w:right w:type="dxa" w:w="90"/>
            </w:tcMar>
            <w:vAlign w:val="center"/>
          </w:tcPr>
          <w:p>
            <w:pPr>
              <w:spacing w:after="40" w:before="40" w:line="240"/>
              <w:jc w:val="left"/>
            </w:pPr>
          </w:p>
        </w:tc>
        <w:tc>
          <w:tcPr>
            <w:tcW w:type="dxa" w:w="1000"/>
            <w:tcMar>
              <w:top w:type="dxa" w:w="60"/>
              <w:left w:type="dxa" w:w="90"/>
              <w:bottom w:type="dxa" w:w="60"/>
              <w:right w:type="dxa" w:w="90"/>
            </w:tcMar>
            <w:vAlign w:val="center"/>
          </w:tcPr>
          <w:p>
            <w:pPr>
              <w:spacing w:after="40" w:before="40" w:line="240"/>
              <w:jc w:val="left"/>
            </w:pPr>
          </w:p>
        </w:tc>
        <w:tc>
          <w:tcPr>
            <w:tcW w:type="dxa" w:w="1000"/>
            <w:tcMar>
              <w:top w:type="dxa" w:w="60"/>
              <w:left w:type="dxa" w:w="90"/>
              <w:bottom w:type="dxa" w:w="60"/>
              <w:right w:type="dxa" w:w="90"/>
            </w:tcMar>
            <w:vAlign w:val="center"/>
          </w:tcPr>
          <w:p>
            <w:pPr>
              <w:spacing w:after="40" w:before="40" w:line="240"/>
              <w:jc w:val="left"/>
            </w:pPr>
          </w:p>
        </w:tc>
        <w:tc>
          <w:tcPr>
            <w:tcW w:type="dxa" w:w="1000"/>
            <w:tcMar>
              <w:top w:type="dxa" w:w="60"/>
              <w:left w:type="dxa" w:w="90"/>
              <w:bottom w:type="dxa" w:w="60"/>
              <w:right w:type="dxa" w:w="90"/>
            </w:tcMar>
            <w:vAlign w:val="center"/>
          </w:tcPr>
          <w:p>
            <w:pPr>
              <w:spacing w:after="40" w:before="40" w:line="240"/>
              <w:jc w:val="left"/>
            </w:pPr>
          </w:p>
        </w:tc>
        <w:tc>
          <w:tcPr>
            <w:tcW w:type="dxa" w:w="1000"/>
            <w:tcMar>
              <w:top w:type="dxa" w:w="60"/>
              <w:left w:type="dxa" w:w="90"/>
              <w:bottom w:type="dxa" w:w="60"/>
              <w:right w:type="dxa" w:w="90"/>
            </w:tcMar>
            <w:vAlign w:val="center"/>
          </w:tcPr>
          <w:p>
            <w:pPr>
              <w:spacing w:after="40" w:before="40" w:line="240"/>
              <w:jc w:val="left"/>
            </w:pPr>
          </w:p>
        </w:tc>
        <w:tc>
          <w:tcPr>
            <w:tcW w:type="dxa" w:w="1000"/>
            <w:tcMar>
              <w:top w:type="dxa" w:w="60"/>
              <w:left w:type="dxa" w:w="90"/>
              <w:bottom w:type="dxa" w:w="60"/>
              <w:right w:type="dxa" w:w="90"/>
            </w:tcMar>
            <w:vAlign w:val="center"/>
          </w:tcPr>
          <w:p>
            <w:pPr>
              <w:spacing w:after="40" w:before="40" w:line="240"/>
              <w:jc w:val="left"/>
            </w:pPr>
          </w:p>
        </w:tc>
      </w:tr>
      <w:tr>
        <w:tc>
          <w:tcPr>
            <w:tcW w:type="dxa" w:w="36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Alquileres y suministros</w:t>
            </w:r>
          </w:p>
        </w:tc>
        <w:tc>
          <w:tcPr>
            <w:tcW w:type="dxa" w:w="1000"/>
            <w:shd w:fill="F2F2F2" w:color="auto" w:val="clear"/>
            <w:tcMar>
              <w:top w:type="dxa" w:w="60"/>
              <w:left w:type="dxa" w:w="90"/>
              <w:bottom w:type="dxa" w:w="60"/>
              <w:right w:type="dxa" w:w="90"/>
            </w:tcMar>
            <w:vAlign w:val="center"/>
          </w:tcPr>
          <w:p>
            <w:pPr>
              <w:spacing w:after="40" w:before="40" w:line="240"/>
              <w:jc w:val="left"/>
            </w:pPr>
          </w:p>
        </w:tc>
        <w:tc>
          <w:tcPr>
            <w:tcW w:type="dxa" w:w="1000"/>
            <w:shd w:fill="F2F2F2" w:color="auto" w:val="clear"/>
            <w:tcMar>
              <w:top w:type="dxa" w:w="60"/>
              <w:left w:type="dxa" w:w="90"/>
              <w:bottom w:type="dxa" w:w="60"/>
              <w:right w:type="dxa" w:w="90"/>
            </w:tcMar>
            <w:vAlign w:val="center"/>
          </w:tcPr>
          <w:p>
            <w:pPr>
              <w:spacing w:after="40" w:before="40" w:line="240"/>
              <w:jc w:val="left"/>
            </w:pPr>
          </w:p>
        </w:tc>
        <w:tc>
          <w:tcPr>
            <w:tcW w:type="dxa" w:w="1000"/>
            <w:shd w:fill="F2F2F2" w:color="auto" w:val="clear"/>
            <w:tcMar>
              <w:top w:type="dxa" w:w="60"/>
              <w:left w:type="dxa" w:w="90"/>
              <w:bottom w:type="dxa" w:w="60"/>
              <w:right w:type="dxa" w:w="90"/>
            </w:tcMar>
            <w:vAlign w:val="center"/>
          </w:tcPr>
          <w:p>
            <w:pPr>
              <w:spacing w:after="40" w:before="40" w:line="240"/>
              <w:jc w:val="left"/>
            </w:pPr>
          </w:p>
        </w:tc>
        <w:tc>
          <w:tcPr>
            <w:tcW w:type="dxa" w:w="1000"/>
            <w:shd w:fill="F2F2F2" w:color="auto" w:val="clear"/>
            <w:tcMar>
              <w:top w:type="dxa" w:w="60"/>
              <w:left w:type="dxa" w:w="90"/>
              <w:bottom w:type="dxa" w:w="60"/>
              <w:right w:type="dxa" w:w="90"/>
            </w:tcMar>
            <w:vAlign w:val="center"/>
          </w:tcPr>
          <w:p>
            <w:pPr>
              <w:spacing w:after="40" w:before="40" w:line="240"/>
              <w:jc w:val="left"/>
            </w:pPr>
          </w:p>
        </w:tc>
        <w:tc>
          <w:tcPr>
            <w:tcW w:type="dxa" w:w="1000"/>
            <w:shd w:fill="F2F2F2" w:color="auto" w:val="clear"/>
            <w:tcMar>
              <w:top w:type="dxa" w:w="60"/>
              <w:left w:type="dxa" w:w="90"/>
              <w:bottom w:type="dxa" w:w="60"/>
              <w:right w:type="dxa" w:w="90"/>
            </w:tcMar>
            <w:vAlign w:val="center"/>
          </w:tcPr>
          <w:p>
            <w:pPr>
              <w:spacing w:after="40" w:before="40" w:line="240"/>
              <w:jc w:val="left"/>
            </w:pPr>
          </w:p>
        </w:tc>
        <w:tc>
          <w:tcPr>
            <w:tcW w:type="dxa" w:w="1000"/>
            <w:shd w:fill="F2F2F2" w:color="auto" w:val="clear"/>
            <w:tcMar>
              <w:top w:type="dxa" w:w="60"/>
              <w:left w:type="dxa" w:w="90"/>
              <w:bottom w:type="dxa" w:w="60"/>
              <w:right w:type="dxa" w:w="90"/>
            </w:tcMar>
            <w:vAlign w:val="center"/>
          </w:tcPr>
          <w:p>
            <w:pPr>
              <w:spacing w:after="40" w:before="40" w:line="240"/>
              <w:jc w:val="left"/>
            </w:pPr>
          </w:p>
        </w:tc>
      </w:tr>
      <w:tr>
        <w:tc>
          <w:tcPr>
            <w:tcW w:type="dxa" w:w="3600"/>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sz w:val="19"/>
                <w:szCs w:val="19"/>
              </w:rPr>
              <w:t xml:space="preserve">(C) TOTAL PAGOS OPERATIVOS</w:t>
            </w:r>
          </w:p>
        </w:tc>
        <w:tc>
          <w:tcPr>
            <w:tcW w:type="dxa" w:w="1000"/>
            <w:tcMar>
              <w:top w:type="dxa" w:w="60"/>
              <w:left w:type="dxa" w:w="90"/>
              <w:bottom w:type="dxa" w:w="60"/>
              <w:right w:type="dxa" w:w="90"/>
            </w:tcMar>
            <w:vAlign w:val="center"/>
          </w:tcPr>
          <w:p>
            <w:pPr>
              <w:spacing w:after="40" w:before="40" w:line="240"/>
              <w:jc w:val="left"/>
            </w:pPr>
          </w:p>
        </w:tc>
        <w:tc>
          <w:tcPr>
            <w:tcW w:type="dxa" w:w="1000"/>
            <w:tcMar>
              <w:top w:type="dxa" w:w="60"/>
              <w:left w:type="dxa" w:w="90"/>
              <w:bottom w:type="dxa" w:w="60"/>
              <w:right w:type="dxa" w:w="90"/>
            </w:tcMar>
            <w:vAlign w:val="center"/>
          </w:tcPr>
          <w:p>
            <w:pPr>
              <w:spacing w:after="40" w:before="40" w:line="240"/>
              <w:jc w:val="left"/>
            </w:pPr>
          </w:p>
        </w:tc>
        <w:tc>
          <w:tcPr>
            <w:tcW w:type="dxa" w:w="1000"/>
            <w:tcMar>
              <w:top w:type="dxa" w:w="60"/>
              <w:left w:type="dxa" w:w="90"/>
              <w:bottom w:type="dxa" w:w="60"/>
              <w:right w:type="dxa" w:w="90"/>
            </w:tcMar>
            <w:vAlign w:val="center"/>
          </w:tcPr>
          <w:p>
            <w:pPr>
              <w:spacing w:after="40" w:before="40" w:line="240"/>
              <w:jc w:val="left"/>
            </w:pPr>
          </w:p>
        </w:tc>
        <w:tc>
          <w:tcPr>
            <w:tcW w:type="dxa" w:w="1000"/>
            <w:tcMar>
              <w:top w:type="dxa" w:w="60"/>
              <w:left w:type="dxa" w:w="90"/>
              <w:bottom w:type="dxa" w:w="60"/>
              <w:right w:type="dxa" w:w="90"/>
            </w:tcMar>
            <w:vAlign w:val="center"/>
          </w:tcPr>
          <w:p>
            <w:pPr>
              <w:spacing w:after="40" w:before="40" w:line="240"/>
              <w:jc w:val="left"/>
            </w:pPr>
          </w:p>
        </w:tc>
        <w:tc>
          <w:tcPr>
            <w:tcW w:type="dxa" w:w="1000"/>
            <w:tcMar>
              <w:top w:type="dxa" w:w="60"/>
              <w:left w:type="dxa" w:w="90"/>
              <w:bottom w:type="dxa" w:w="60"/>
              <w:right w:type="dxa" w:w="90"/>
            </w:tcMar>
            <w:vAlign w:val="center"/>
          </w:tcPr>
          <w:p>
            <w:pPr>
              <w:spacing w:after="40" w:before="40" w:line="240"/>
              <w:jc w:val="left"/>
            </w:pPr>
          </w:p>
        </w:tc>
        <w:tc>
          <w:tcPr>
            <w:tcW w:type="dxa" w:w="1000"/>
            <w:tcMar>
              <w:top w:type="dxa" w:w="60"/>
              <w:left w:type="dxa" w:w="90"/>
              <w:bottom w:type="dxa" w:w="60"/>
              <w:right w:type="dxa" w:w="90"/>
            </w:tcMar>
            <w:vAlign w:val="center"/>
          </w:tcPr>
          <w:p>
            <w:pPr>
              <w:spacing w:after="40" w:before="40" w:line="240"/>
              <w:jc w:val="left"/>
            </w:pPr>
          </w:p>
        </w:tc>
      </w:tr>
      <w:tr>
        <w:tc>
          <w:tcPr>
            <w:tcW w:type="dxa" w:w="36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Leasing y renting</w:t>
            </w:r>
          </w:p>
        </w:tc>
        <w:tc>
          <w:tcPr>
            <w:tcW w:type="dxa" w:w="1000"/>
            <w:shd w:fill="F2F2F2" w:color="auto" w:val="clear"/>
            <w:tcMar>
              <w:top w:type="dxa" w:w="60"/>
              <w:left w:type="dxa" w:w="90"/>
              <w:bottom w:type="dxa" w:w="60"/>
              <w:right w:type="dxa" w:w="90"/>
            </w:tcMar>
            <w:vAlign w:val="center"/>
          </w:tcPr>
          <w:p>
            <w:pPr>
              <w:spacing w:after="40" w:before="40" w:line="240"/>
              <w:jc w:val="left"/>
            </w:pPr>
          </w:p>
        </w:tc>
        <w:tc>
          <w:tcPr>
            <w:tcW w:type="dxa" w:w="1000"/>
            <w:shd w:fill="F2F2F2" w:color="auto" w:val="clear"/>
            <w:tcMar>
              <w:top w:type="dxa" w:w="60"/>
              <w:left w:type="dxa" w:w="90"/>
              <w:bottom w:type="dxa" w:w="60"/>
              <w:right w:type="dxa" w:w="90"/>
            </w:tcMar>
            <w:vAlign w:val="center"/>
          </w:tcPr>
          <w:p>
            <w:pPr>
              <w:spacing w:after="40" w:before="40" w:line="240"/>
              <w:jc w:val="left"/>
            </w:pPr>
          </w:p>
        </w:tc>
        <w:tc>
          <w:tcPr>
            <w:tcW w:type="dxa" w:w="1000"/>
            <w:shd w:fill="F2F2F2" w:color="auto" w:val="clear"/>
            <w:tcMar>
              <w:top w:type="dxa" w:w="60"/>
              <w:left w:type="dxa" w:w="90"/>
              <w:bottom w:type="dxa" w:w="60"/>
              <w:right w:type="dxa" w:w="90"/>
            </w:tcMar>
            <w:vAlign w:val="center"/>
          </w:tcPr>
          <w:p>
            <w:pPr>
              <w:spacing w:after="40" w:before="40" w:line="240"/>
              <w:jc w:val="left"/>
            </w:pPr>
          </w:p>
        </w:tc>
        <w:tc>
          <w:tcPr>
            <w:tcW w:type="dxa" w:w="1000"/>
            <w:shd w:fill="F2F2F2" w:color="auto" w:val="clear"/>
            <w:tcMar>
              <w:top w:type="dxa" w:w="60"/>
              <w:left w:type="dxa" w:w="90"/>
              <w:bottom w:type="dxa" w:w="60"/>
              <w:right w:type="dxa" w:w="90"/>
            </w:tcMar>
            <w:vAlign w:val="center"/>
          </w:tcPr>
          <w:p>
            <w:pPr>
              <w:spacing w:after="40" w:before="40" w:line="240"/>
              <w:jc w:val="left"/>
            </w:pPr>
          </w:p>
        </w:tc>
        <w:tc>
          <w:tcPr>
            <w:tcW w:type="dxa" w:w="1000"/>
            <w:shd w:fill="F2F2F2" w:color="auto" w:val="clear"/>
            <w:tcMar>
              <w:top w:type="dxa" w:w="60"/>
              <w:left w:type="dxa" w:w="90"/>
              <w:bottom w:type="dxa" w:w="60"/>
              <w:right w:type="dxa" w:w="90"/>
            </w:tcMar>
            <w:vAlign w:val="center"/>
          </w:tcPr>
          <w:p>
            <w:pPr>
              <w:spacing w:after="40" w:before="40" w:line="240"/>
              <w:jc w:val="left"/>
            </w:pPr>
          </w:p>
        </w:tc>
        <w:tc>
          <w:tcPr>
            <w:tcW w:type="dxa" w:w="1000"/>
            <w:shd w:fill="F2F2F2" w:color="auto" w:val="clear"/>
            <w:tcMar>
              <w:top w:type="dxa" w:w="60"/>
              <w:left w:type="dxa" w:w="90"/>
              <w:bottom w:type="dxa" w:w="60"/>
              <w:right w:type="dxa" w:w="90"/>
            </w:tcMar>
            <w:vAlign w:val="center"/>
          </w:tcPr>
          <w:p>
            <w:pPr>
              <w:spacing w:after="40" w:before="40" w:line="240"/>
              <w:jc w:val="left"/>
            </w:pPr>
          </w:p>
        </w:tc>
      </w:tr>
      <w:tr>
        <w:tc>
          <w:tcPr>
            <w:tcW w:type="dxa" w:w="3600"/>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Préstamos e intereses</w:t>
            </w:r>
          </w:p>
        </w:tc>
        <w:tc>
          <w:tcPr>
            <w:tcW w:type="dxa" w:w="1000"/>
            <w:tcMar>
              <w:top w:type="dxa" w:w="60"/>
              <w:left w:type="dxa" w:w="90"/>
              <w:bottom w:type="dxa" w:w="60"/>
              <w:right w:type="dxa" w:w="90"/>
            </w:tcMar>
            <w:vAlign w:val="center"/>
          </w:tcPr>
          <w:p>
            <w:pPr>
              <w:spacing w:after="40" w:before="40" w:line="240"/>
              <w:jc w:val="left"/>
            </w:pPr>
          </w:p>
        </w:tc>
        <w:tc>
          <w:tcPr>
            <w:tcW w:type="dxa" w:w="1000"/>
            <w:tcMar>
              <w:top w:type="dxa" w:w="60"/>
              <w:left w:type="dxa" w:w="90"/>
              <w:bottom w:type="dxa" w:w="60"/>
              <w:right w:type="dxa" w:w="90"/>
            </w:tcMar>
            <w:vAlign w:val="center"/>
          </w:tcPr>
          <w:p>
            <w:pPr>
              <w:spacing w:after="40" w:before="40" w:line="240"/>
              <w:jc w:val="left"/>
            </w:pPr>
          </w:p>
        </w:tc>
        <w:tc>
          <w:tcPr>
            <w:tcW w:type="dxa" w:w="1000"/>
            <w:tcMar>
              <w:top w:type="dxa" w:w="60"/>
              <w:left w:type="dxa" w:w="90"/>
              <w:bottom w:type="dxa" w:w="60"/>
              <w:right w:type="dxa" w:w="90"/>
            </w:tcMar>
            <w:vAlign w:val="center"/>
          </w:tcPr>
          <w:p>
            <w:pPr>
              <w:spacing w:after="40" w:before="40" w:line="240"/>
              <w:jc w:val="left"/>
            </w:pPr>
          </w:p>
        </w:tc>
        <w:tc>
          <w:tcPr>
            <w:tcW w:type="dxa" w:w="1000"/>
            <w:tcMar>
              <w:top w:type="dxa" w:w="60"/>
              <w:left w:type="dxa" w:w="90"/>
              <w:bottom w:type="dxa" w:w="60"/>
              <w:right w:type="dxa" w:w="90"/>
            </w:tcMar>
            <w:vAlign w:val="center"/>
          </w:tcPr>
          <w:p>
            <w:pPr>
              <w:spacing w:after="40" w:before="40" w:line="240"/>
              <w:jc w:val="left"/>
            </w:pPr>
          </w:p>
        </w:tc>
        <w:tc>
          <w:tcPr>
            <w:tcW w:type="dxa" w:w="1000"/>
            <w:tcMar>
              <w:top w:type="dxa" w:w="60"/>
              <w:left w:type="dxa" w:w="90"/>
              <w:bottom w:type="dxa" w:w="60"/>
              <w:right w:type="dxa" w:w="90"/>
            </w:tcMar>
            <w:vAlign w:val="center"/>
          </w:tcPr>
          <w:p>
            <w:pPr>
              <w:spacing w:after="40" w:before="40" w:line="240"/>
              <w:jc w:val="left"/>
            </w:pPr>
          </w:p>
        </w:tc>
        <w:tc>
          <w:tcPr>
            <w:tcW w:type="dxa" w:w="1000"/>
            <w:tcMar>
              <w:top w:type="dxa" w:w="60"/>
              <w:left w:type="dxa" w:w="90"/>
              <w:bottom w:type="dxa" w:w="60"/>
              <w:right w:type="dxa" w:w="90"/>
            </w:tcMar>
            <w:vAlign w:val="center"/>
          </w:tcPr>
          <w:p>
            <w:pPr>
              <w:spacing w:after="40" w:before="40" w:line="240"/>
              <w:jc w:val="left"/>
            </w:pPr>
          </w:p>
        </w:tc>
      </w:tr>
      <w:tr>
        <w:tc>
          <w:tcPr>
            <w:tcW w:type="dxa" w:w="36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sz w:val="19"/>
                <w:szCs w:val="19"/>
              </w:rPr>
              <w:t xml:space="preserve">(D) TOTAL PAGOS FINANCIEROS</w:t>
            </w:r>
          </w:p>
        </w:tc>
        <w:tc>
          <w:tcPr>
            <w:tcW w:type="dxa" w:w="1000"/>
            <w:shd w:fill="F2F2F2" w:color="auto" w:val="clear"/>
            <w:tcMar>
              <w:top w:type="dxa" w:w="60"/>
              <w:left w:type="dxa" w:w="90"/>
              <w:bottom w:type="dxa" w:w="60"/>
              <w:right w:type="dxa" w:w="90"/>
            </w:tcMar>
            <w:vAlign w:val="center"/>
          </w:tcPr>
          <w:p>
            <w:pPr>
              <w:spacing w:after="40" w:before="40" w:line="240"/>
              <w:jc w:val="left"/>
            </w:pPr>
          </w:p>
        </w:tc>
        <w:tc>
          <w:tcPr>
            <w:tcW w:type="dxa" w:w="1000"/>
            <w:shd w:fill="F2F2F2" w:color="auto" w:val="clear"/>
            <w:tcMar>
              <w:top w:type="dxa" w:w="60"/>
              <w:left w:type="dxa" w:w="90"/>
              <w:bottom w:type="dxa" w:w="60"/>
              <w:right w:type="dxa" w:w="90"/>
            </w:tcMar>
            <w:vAlign w:val="center"/>
          </w:tcPr>
          <w:p>
            <w:pPr>
              <w:spacing w:after="40" w:before="40" w:line="240"/>
              <w:jc w:val="left"/>
            </w:pPr>
          </w:p>
        </w:tc>
        <w:tc>
          <w:tcPr>
            <w:tcW w:type="dxa" w:w="1000"/>
            <w:shd w:fill="F2F2F2" w:color="auto" w:val="clear"/>
            <w:tcMar>
              <w:top w:type="dxa" w:w="60"/>
              <w:left w:type="dxa" w:w="90"/>
              <w:bottom w:type="dxa" w:w="60"/>
              <w:right w:type="dxa" w:w="90"/>
            </w:tcMar>
            <w:vAlign w:val="center"/>
          </w:tcPr>
          <w:p>
            <w:pPr>
              <w:spacing w:after="40" w:before="40" w:line="240"/>
              <w:jc w:val="left"/>
            </w:pPr>
          </w:p>
        </w:tc>
        <w:tc>
          <w:tcPr>
            <w:tcW w:type="dxa" w:w="1000"/>
            <w:shd w:fill="F2F2F2" w:color="auto" w:val="clear"/>
            <w:tcMar>
              <w:top w:type="dxa" w:w="60"/>
              <w:left w:type="dxa" w:w="90"/>
              <w:bottom w:type="dxa" w:w="60"/>
              <w:right w:type="dxa" w:w="90"/>
            </w:tcMar>
            <w:vAlign w:val="center"/>
          </w:tcPr>
          <w:p>
            <w:pPr>
              <w:spacing w:after="40" w:before="40" w:line="240"/>
              <w:jc w:val="left"/>
            </w:pPr>
          </w:p>
        </w:tc>
        <w:tc>
          <w:tcPr>
            <w:tcW w:type="dxa" w:w="1000"/>
            <w:shd w:fill="F2F2F2" w:color="auto" w:val="clear"/>
            <w:tcMar>
              <w:top w:type="dxa" w:w="60"/>
              <w:left w:type="dxa" w:w="90"/>
              <w:bottom w:type="dxa" w:w="60"/>
              <w:right w:type="dxa" w:w="90"/>
            </w:tcMar>
            <w:vAlign w:val="center"/>
          </w:tcPr>
          <w:p>
            <w:pPr>
              <w:spacing w:after="40" w:before="40" w:line="240"/>
              <w:jc w:val="left"/>
            </w:pPr>
          </w:p>
        </w:tc>
        <w:tc>
          <w:tcPr>
            <w:tcW w:type="dxa" w:w="1000"/>
            <w:shd w:fill="F2F2F2" w:color="auto" w:val="clear"/>
            <w:tcMar>
              <w:top w:type="dxa" w:w="60"/>
              <w:left w:type="dxa" w:w="90"/>
              <w:bottom w:type="dxa" w:w="60"/>
              <w:right w:type="dxa" w:w="90"/>
            </w:tcMar>
            <w:vAlign w:val="center"/>
          </w:tcPr>
          <w:p>
            <w:pPr>
              <w:spacing w:after="40" w:before="40" w:line="240"/>
              <w:jc w:val="left"/>
            </w:pPr>
          </w:p>
        </w:tc>
      </w:tr>
      <w:tr>
        <w:tc>
          <w:tcPr>
            <w:tcW w:type="dxa" w:w="3600"/>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IVA y retenciones IRPF</w:t>
            </w:r>
          </w:p>
        </w:tc>
        <w:tc>
          <w:tcPr>
            <w:tcW w:type="dxa" w:w="1000"/>
            <w:tcMar>
              <w:top w:type="dxa" w:w="60"/>
              <w:left w:type="dxa" w:w="90"/>
              <w:bottom w:type="dxa" w:w="60"/>
              <w:right w:type="dxa" w:w="90"/>
            </w:tcMar>
            <w:vAlign w:val="center"/>
          </w:tcPr>
          <w:p>
            <w:pPr>
              <w:spacing w:after="40" w:before="40" w:line="240"/>
              <w:jc w:val="left"/>
            </w:pPr>
          </w:p>
        </w:tc>
        <w:tc>
          <w:tcPr>
            <w:tcW w:type="dxa" w:w="1000"/>
            <w:tcMar>
              <w:top w:type="dxa" w:w="60"/>
              <w:left w:type="dxa" w:w="90"/>
              <w:bottom w:type="dxa" w:w="60"/>
              <w:right w:type="dxa" w:w="90"/>
            </w:tcMar>
            <w:vAlign w:val="center"/>
          </w:tcPr>
          <w:p>
            <w:pPr>
              <w:spacing w:after="40" w:before="40" w:line="240"/>
              <w:jc w:val="left"/>
            </w:pPr>
          </w:p>
        </w:tc>
        <w:tc>
          <w:tcPr>
            <w:tcW w:type="dxa" w:w="1000"/>
            <w:tcMar>
              <w:top w:type="dxa" w:w="60"/>
              <w:left w:type="dxa" w:w="90"/>
              <w:bottom w:type="dxa" w:w="60"/>
              <w:right w:type="dxa" w:w="90"/>
            </w:tcMar>
            <w:vAlign w:val="center"/>
          </w:tcPr>
          <w:p>
            <w:pPr>
              <w:spacing w:after="40" w:before="40" w:line="240"/>
              <w:jc w:val="left"/>
            </w:pPr>
          </w:p>
        </w:tc>
        <w:tc>
          <w:tcPr>
            <w:tcW w:type="dxa" w:w="1000"/>
            <w:tcMar>
              <w:top w:type="dxa" w:w="60"/>
              <w:left w:type="dxa" w:w="90"/>
              <w:bottom w:type="dxa" w:w="60"/>
              <w:right w:type="dxa" w:w="90"/>
            </w:tcMar>
            <w:vAlign w:val="center"/>
          </w:tcPr>
          <w:p>
            <w:pPr>
              <w:spacing w:after="40" w:before="40" w:line="240"/>
              <w:jc w:val="left"/>
            </w:pPr>
          </w:p>
        </w:tc>
        <w:tc>
          <w:tcPr>
            <w:tcW w:type="dxa" w:w="1000"/>
            <w:tcMar>
              <w:top w:type="dxa" w:w="60"/>
              <w:left w:type="dxa" w:w="90"/>
              <w:bottom w:type="dxa" w:w="60"/>
              <w:right w:type="dxa" w:w="90"/>
            </w:tcMar>
            <w:vAlign w:val="center"/>
          </w:tcPr>
          <w:p>
            <w:pPr>
              <w:spacing w:after="40" w:before="40" w:line="240"/>
              <w:jc w:val="left"/>
            </w:pPr>
          </w:p>
        </w:tc>
        <w:tc>
          <w:tcPr>
            <w:tcW w:type="dxa" w:w="1000"/>
            <w:tcMar>
              <w:top w:type="dxa" w:w="60"/>
              <w:left w:type="dxa" w:w="90"/>
              <w:bottom w:type="dxa" w:w="60"/>
              <w:right w:type="dxa" w:w="90"/>
            </w:tcMar>
            <w:vAlign w:val="center"/>
          </w:tcPr>
          <w:p>
            <w:pPr>
              <w:spacing w:after="40" w:before="40" w:line="240"/>
              <w:jc w:val="left"/>
            </w:pPr>
          </w:p>
        </w:tc>
      </w:tr>
      <w:tr>
        <w:tc>
          <w:tcPr>
            <w:tcW w:type="dxa" w:w="36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Cuotas de aplazamientos AEAT / TGSS</w:t>
            </w:r>
          </w:p>
        </w:tc>
        <w:tc>
          <w:tcPr>
            <w:tcW w:type="dxa" w:w="1000"/>
            <w:shd w:fill="F2F2F2" w:color="auto" w:val="clear"/>
            <w:tcMar>
              <w:top w:type="dxa" w:w="60"/>
              <w:left w:type="dxa" w:w="90"/>
              <w:bottom w:type="dxa" w:w="60"/>
              <w:right w:type="dxa" w:w="90"/>
            </w:tcMar>
            <w:vAlign w:val="center"/>
          </w:tcPr>
          <w:p>
            <w:pPr>
              <w:spacing w:after="40" w:before="40" w:line="240"/>
              <w:jc w:val="left"/>
            </w:pPr>
          </w:p>
        </w:tc>
        <w:tc>
          <w:tcPr>
            <w:tcW w:type="dxa" w:w="1000"/>
            <w:shd w:fill="F2F2F2" w:color="auto" w:val="clear"/>
            <w:tcMar>
              <w:top w:type="dxa" w:w="60"/>
              <w:left w:type="dxa" w:w="90"/>
              <w:bottom w:type="dxa" w:w="60"/>
              <w:right w:type="dxa" w:w="90"/>
            </w:tcMar>
            <w:vAlign w:val="center"/>
          </w:tcPr>
          <w:p>
            <w:pPr>
              <w:spacing w:after="40" w:before="40" w:line="240"/>
              <w:jc w:val="left"/>
            </w:pPr>
          </w:p>
        </w:tc>
        <w:tc>
          <w:tcPr>
            <w:tcW w:type="dxa" w:w="1000"/>
            <w:shd w:fill="F2F2F2" w:color="auto" w:val="clear"/>
            <w:tcMar>
              <w:top w:type="dxa" w:w="60"/>
              <w:left w:type="dxa" w:w="90"/>
              <w:bottom w:type="dxa" w:w="60"/>
              <w:right w:type="dxa" w:w="90"/>
            </w:tcMar>
            <w:vAlign w:val="center"/>
          </w:tcPr>
          <w:p>
            <w:pPr>
              <w:spacing w:after="40" w:before="40" w:line="240"/>
              <w:jc w:val="left"/>
            </w:pPr>
          </w:p>
        </w:tc>
        <w:tc>
          <w:tcPr>
            <w:tcW w:type="dxa" w:w="1000"/>
            <w:shd w:fill="F2F2F2" w:color="auto" w:val="clear"/>
            <w:tcMar>
              <w:top w:type="dxa" w:w="60"/>
              <w:left w:type="dxa" w:w="90"/>
              <w:bottom w:type="dxa" w:w="60"/>
              <w:right w:type="dxa" w:w="90"/>
            </w:tcMar>
            <w:vAlign w:val="center"/>
          </w:tcPr>
          <w:p>
            <w:pPr>
              <w:spacing w:after="40" w:before="40" w:line="240"/>
              <w:jc w:val="left"/>
            </w:pPr>
          </w:p>
        </w:tc>
        <w:tc>
          <w:tcPr>
            <w:tcW w:type="dxa" w:w="1000"/>
            <w:shd w:fill="F2F2F2" w:color="auto" w:val="clear"/>
            <w:tcMar>
              <w:top w:type="dxa" w:w="60"/>
              <w:left w:type="dxa" w:w="90"/>
              <w:bottom w:type="dxa" w:w="60"/>
              <w:right w:type="dxa" w:w="90"/>
            </w:tcMar>
            <w:vAlign w:val="center"/>
          </w:tcPr>
          <w:p>
            <w:pPr>
              <w:spacing w:after="40" w:before="40" w:line="240"/>
              <w:jc w:val="left"/>
            </w:pPr>
          </w:p>
        </w:tc>
        <w:tc>
          <w:tcPr>
            <w:tcW w:type="dxa" w:w="1000"/>
            <w:shd w:fill="F2F2F2" w:color="auto" w:val="clear"/>
            <w:tcMar>
              <w:top w:type="dxa" w:w="60"/>
              <w:left w:type="dxa" w:w="90"/>
              <w:bottom w:type="dxa" w:w="60"/>
              <w:right w:type="dxa" w:w="90"/>
            </w:tcMar>
            <w:vAlign w:val="center"/>
          </w:tcPr>
          <w:p>
            <w:pPr>
              <w:spacing w:after="40" w:before="40" w:line="240"/>
              <w:jc w:val="left"/>
            </w:pPr>
          </w:p>
        </w:tc>
      </w:tr>
      <w:tr>
        <w:tc>
          <w:tcPr>
            <w:tcW w:type="dxa" w:w="3600"/>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sz w:val="19"/>
                <w:szCs w:val="19"/>
              </w:rPr>
              <w:t xml:space="preserve">(E) TOTAL PAGOS FISCALES</w:t>
            </w:r>
          </w:p>
        </w:tc>
        <w:tc>
          <w:tcPr>
            <w:tcW w:type="dxa" w:w="1000"/>
            <w:tcMar>
              <w:top w:type="dxa" w:w="60"/>
              <w:left w:type="dxa" w:w="90"/>
              <w:bottom w:type="dxa" w:w="60"/>
              <w:right w:type="dxa" w:w="90"/>
            </w:tcMar>
            <w:vAlign w:val="center"/>
          </w:tcPr>
          <w:p>
            <w:pPr>
              <w:spacing w:after="40" w:before="40" w:line="240"/>
              <w:jc w:val="left"/>
            </w:pPr>
          </w:p>
        </w:tc>
        <w:tc>
          <w:tcPr>
            <w:tcW w:type="dxa" w:w="1000"/>
            <w:tcMar>
              <w:top w:type="dxa" w:w="60"/>
              <w:left w:type="dxa" w:w="90"/>
              <w:bottom w:type="dxa" w:w="60"/>
              <w:right w:type="dxa" w:w="90"/>
            </w:tcMar>
            <w:vAlign w:val="center"/>
          </w:tcPr>
          <w:p>
            <w:pPr>
              <w:spacing w:after="40" w:before="40" w:line="240"/>
              <w:jc w:val="left"/>
            </w:pPr>
          </w:p>
        </w:tc>
        <w:tc>
          <w:tcPr>
            <w:tcW w:type="dxa" w:w="1000"/>
            <w:tcMar>
              <w:top w:type="dxa" w:w="60"/>
              <w:left w:type="dxa" w:w="90"/>
              <w:bottom w:type="dxa" w:w="60"/>
              <w:right w:type="dxa" w:w="90"/>
            </w:tcMar>
            <w:vAlign w:val="center"/>
          </w:tcPr>
          <w:p>
            <w:pPr>
              <w:spacing w:after="40" w:before="40" w:line="240"/>
              <w:jc w:val="left"/>
            </w:pPr>
          </w:p>
        </w:tc>
        <w:tc>
          <w:tcPr>
            <w:tcW w:type="dxa" w:w="1000"/>
            <w:tcMar>
              <w:top w:type="dxa" w:w="60"/>
              <w:left w:type="dxa" w:w="90"/>
              <w:bottom w:type="dxa" w:w="60"/>
              <w:right w:type="dxa" w:w="90"/>
            </w:tcMar>
            <w:vAlign w:val="center"/>
          </w:tcPr>
          <w:p>
            <w:pPr>
              <w:spacing w:after="40" w:before="40" w:line="240"/>
              <w:jc w:val="left"/>
            </w:pPr>
          </w:p>
        </w:tc>
        <w:tc>
          <w:tcPr>
            <w:tcW w:type="dxa" w:w="1000"/>
            <w:tcMar>
              <w:top w:type="dxa" w:w="60"/>
              <w:left w:type="dxa" w:w="90"/>
              <w:bottom w:type="dxa" w:w="60"/>
              <w:right w:type="dxa" w:w="90"/>
            </w:tcMar>
            <w:vAlign w:val="center"/>
          </w:tcPr>
          <w:p>
            <w:pPr>
              <w:spacing w:after="40" w:before="40" w:line="240"/>
              <w:jc w:val="left"/>
            </w:pPr>
          </w:p>
        </w:tc>
        <w:tc>
          <w:tcPr>
            <w:tcW w:type="dxa" w:w="1000"/>
            <w:tcMar>
              <w:top w:type="dxa" w:w="60"/>
              <w:left w:type="dxa" w:w="90"/>
              <w:bottom w:type="dxa" w:w="60"/>
              <w:right w:type="dxa" w:w="90"/>
            </w:tcMar>
            <w:vAlign w:val="center"/>
          </w:tcPr>
          <w:p>
            <w:pPr>
              <w:spacing w:after="40" w:before="40" w:line="240"/>
              <w:jc w:val="left"/>
            </w:pPr>
          </w:p>
        </w:tc>
      </w:tr>
      <w:tr>
        <w:tc>
          <w:tcPr>
            <w:tcW w:type="dxa" w:w="36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sz w:val="19"/>
                <w:szCs w:val="19"/>
              </w:rPr>
              <w:t xml:space="preserve">(F) CUOTAS DE ACUERDOS CON PROVEEDORES</w:t>
            </w:r>
          </w:p>
        </w:tc>
        <w:tc>
          <w:tcPr>
            <w:tcW w:type="dxa" w:w="1000"/>
            <w:shd w:fill="F2F2F2" w:color="auto" w:val="clear"/>
            <w:tcMar>
              <w:top w:type="dxa" w:w="60"/>
              <w:left w:type="dxa" w:w="90"/>
              <w:bottom w:type="dxa" w:w="60"/>
              <w:right w:type="dxa" w:w="90"/>
            </w:tcMar>
            <w:vAlign w:val="center"/>
          </w:tcPr>
          <w:p>
            <w:pPr>
              <w:spacing w:after="40" w:before="40" w:line="240"/>
              <w:jc w:val="left"/>
            </w:pPr>
          </w:p>
        </w:tc>
        <w:tc>
          <w:tcPr>
            <w:tcW w:type="dxa" w:w="1000"/>
            <w:shd w:fill="F2F2F2" w:color="auto" w:val="clear"/>
            <w:tcMar>
              <w:top w:type="dxa" w:w="60"/>
              <w:left w:type="dxa" w:w="90"/>
              <w:bottom w:type="dxa" w:w="60"/>
              <w:right w:type="dxa" w:w="90"/>
            </w:tcMar>
            <w:vAlign w:val="center"/>
          </w:tcPr>
          <w:p>
            <w:pPr>
              <w:spacing w:after="40" w:before="40" w:line="240"/>
              <w:jc w:val="left"/>
            </w:pPr>
          </w:p>
        </w:tc>
        <w:tc>
          <w:tcPr>
            <w:tcW w:type="dxa" w:w="1000"/>
            <w:shd w:fill="F2F2F2" w:color="auto" w:val="clear"/>
            <w:tcMar>
              <w:top w:type="dxa" w:w="60"/>
              <w:left w:type="dxa" w:w="90"/>
              <w:bottom w:type="dxa" w:w="60"/>
              <w:right w:type="dxa" w:w="90"/>
            </w:tcMar>
            <w:vAlign w:val="center"/>
          </w:tcPr>
          <w:p>
            <w:pPr>
              <w:spacing w:after="40" w:before="40" w:line="240"/>
              <w:jc w:val="left"/>
            </w:pPr>
          </w:p>
        </w:tc>
        <w:tc>
          <w:tcPr>
            <w:tcW w:type="dxa" w:w="1000"/>
            <w:shd w:fill="F2F2F2" w:color="auto" w:val="clear"/>
            <w:tcMar>
              <w:top w:type="dxa" w:w="60"/>
              <w:left w:type="dxa" w:w="90"/>
              <w:bottom w:type="dxa" w:w="60"/>
              <w:right w:type="dxa" w:w="90"/>
            </w:tcMar>
            <w:vAlign w:val="center"/>
          </w:tcPr>
          <w:p>
            <w:pPr>
              <w:spacing w:after="40" w:before="40" w:line="240"/>
              <w:jc w:val="left"/>
            </w:pPr>
          </w:p>
        </w:tc>
        <w:tc>
          <w:tcPr>
            <w:tcW w:type="dxa" w:w="1000"/>
            <w:shd w:fill="F2F2F2" w:color="auto" w:val="clear"/>
            <w:tcMar>
              <w:top w:type="dxa" w:w="60"/>
              <w:left w:type="dxa" w:w="90"/>
              <w:bottom w:type="dxa" w:w="60"/>
              <w:right w:type="dxa" w:w="90"/>
            </w:tcMar>
            <w:vAlign w:val="center"/>
          </w:tcPr>
          <w:p>
            <w:pPr>
              <w:spacing w:after="40" w:before="40" w:line="240"/>
              <w:jc w:val="left"/>
            </w:pPr>
          </w:p>
        </w:tc>
        <w:tc>
          <w:tcPr>
            <w:tcW w:type="dxa" w:w="1000"/>
            <w:shd w:fill="F2F2F2" w:color="auto" w:val="clear"/>
            <w:tcMar>
              <w:top w:type="dxa" w:w="60"/>
              <w:left w:type="dxa" w:w="90"/>
              <w:bottom w:type="dxa" w:w="60"/>
              <w:right w:type="dxa" w:w="90"/>
            </w:tcMar>
            <w:vAlign w:val="center"/>
          </w:tcPr>
          <w:p>
            <w:pPr>
              <w:spacing w:after="40" w:before="40" w:line="240"/>
              <w:jc w:val="left"/>
            </w:pPr>
          </w:p>
        </w:tc>
      </w:tr>
      <w:tr>
        <w:tc>
          <w:tcPr>
            <w:tcW w:type="dxa" w:w="3600"/>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sz w:val="19"/>
                <w:szCs w:val="19"/>
              </w:rPr>
              <w:t xml:space="preserve">(G) SALDO FINAL = A+B−C−D−E−F</w:t>
            </w:r>
          </w:p>
        </w:tc>
        <w:tc>
          <w:tcPr>
            <w:tcW w:type="dxa" w:w="1000"/>
            <w:tcMar>
              <w:top w:type="dxa" w:w="60"/>
              <w:left w:type="dxa" w:w="90"/>
              <w:bottom w:type="dxa" w:w="60"/>
              <w:right w:type="dxa" w:w="90"/>
            </w:tcMar>
            <w:vAlign w:val="center"/>
          </w:tcPr>
          <w:p>
            <w:pPr>
              <w:spacing w:after="40" w:before="40" w:line="240"/>
              <w:jc w:val="left"/>
            </w:pPr>
          </w:p>
        </w:tc>
        <w:tc>
          <w:tcPr>
            <w:tcW w:type="dxa" w:w="1000"/>
            <w:tcMar>
              <w:top w:type="dxa" w:w="60"/>
              <w:left w:type="dxa" w:w="90"/>
              <w:bottom w:type="dxa" w:w="60"/>
              <w:right w:type="dxa" w:w="90"/>
            </w:tcMar>
            <w:vAlign w:val="center"/>
          </w:tcPr>
          <w:p>
            <w:pPr>
              <w:spacing w:after="40" w:before="40" w:line="240"/>
              <w:jc w:val="left"/>
            </w:pPr>
          </w:p>
        </w:tc>
        <w:tc>
          <w:tcPr>
            <w:tcW w:type="dxa" w:w="1000"/>
            <w:tcMar>
              <w:top w:type="dxa" w:w="60"/>
              <w:left w:type="dxa" w:w="90"/>
              <w:bottom w:type="dxa" w:w="60"/>
              <w:right w:type="dxa" w:w="90"/>
            </w:tcMar>
            <w:vAlign w:val="center"/>
          </w:tcPr>
          <w:p>
            <w:pPr>
              <w:spacing w:after="40" w:before="40" w:line="240"/>
              <w:jc w:val="left"/>
            </w:pPr>
          </w:p>
        </w:tc>
        <w:tc>
          <w:tcPr>
            <w:tcW w:type="dxa" w:w="1000"/>
            <w:tcMar>
              <w:top w:type="dxa" w:w="60"/>
              <w:left w:type="dxa" w:w="90"/>
              <w:bottom w:type="dxa" w:w="60"/>
              <w:right w:type="dxa" w:w="90"/>
            </w:tcMar>
            <w:vAlign w:val="center"/>
          </w:tcPr>
          <w:p>
            <w:pPr>
              <w:spacing w:after="40" w:before="40" w:line="240"/>
              <w:jc w:val="left"/>
            </w:pPr>
          </w:p>
        </w:tc>
        <w:tc>
          <w:tcPr>
            <w:tcW w:type="dxa" w:w="1000"/>
            <w:tcMar>
              <w:top w:type="dxa" w:w="60"/>
              <w:left w:type="dxa" w:w="90"/>
              <w:bottom w:type="dxa" w:w="60"/>
              <w:right w:type="dxa" w:w="90"/>
            </w:tcMar>
            <w:vAlign w:val="center"/>
          </w:tcPr>
          <w:p>
            <w:pPr>
              <w:spacing w:after="40" w:before="40" w:line="240"/>
              <w:jc w:val="left"/>
            </w:pPr>
          </w:p>
        </w:tc>
        <w:tc>
          <w:tcPr>
            <w:tcW w:type="dxa" w:w="1000"/>
            <w:tcMar>
              <w:top w:type="dxa" w:w="60"/>
              <w:left w:type="dxa" w:w="90"/>
              <w:bottom w:type="dxa" w:w="60"/>
              <w:right w:type="dxa" w:w="90"/>
            </w:tcMar>
            <w:vAlign w:val="center"/>
          </w:tcPr>
          <w:p>
            <w:pPr>
              <w:spacing w:after="40" w:before="40" w:line="240"/>
              <w:jc w:val="left"/>
            </w:pPr>
          </w:p>
        </w:tc>
      </w:tr>
      <w:tr>
        <w:tc>
          <w:tcPr>
            <w:tcW w:type="dxa" w:w="36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Colchón mínimo de seguridad</w:t>
            </w:r>
          </w:p>
        </w:tc>
        <w:tc>
          <w:tcPr>
            <w:tcW w:type="dxa" w:w="1000"/>
            <w:shd w:fill="F2F2F2" w:color="auto" w:val="clear"/>
            <w:tcMar>
              <w:top w:type="dxa" w:w="60"/>
              <w:left w:type="dxa" w:w="90"/>
              <w:bottom w:type="dxa" w:w="60"/>
              <w:right w:type="dxa" w:w="90"/>
            </w:tcMar>
            <w:vAlign w:val="center"/>
          </w:tcPr>
          <w:p>
            <w:pPr>
              <w:spacing w:after="40" w:before="40" w:line="240"/>
              <w:jc w:val="left"/>
            </w:pPr>
          </w:p>
        </w:tc>
        <w:tc>
          <w:tcPr>
            <w:tcW w:type="dxa" w:w="1000"/>
            <w:shd w:fill="F2F2F2" w:color="auto" w:val="clear"/>
            <w:tcMar>
              <w:top w:type="dxa" w:w="60"/>
              <w:left w:type="dxa" w:w="90"/>
              <w:bottom w:type="dxa" w:w="60"/>
              <w:right w:type="dxa" w:w="90"/>
            </w:tcMar>
            <w:vAlign w:val="center"/>
          </w:tcPr>
          <w:p>
            <w:pPr>
              <w:spacing w:after="40" w:before="40" w:line="240"/>
              <w:jc w:val="left"/>
            </w:pPr>
          </w:p>
        </w:tc>
        <w:tc>
          <w:tcPr>
            <w:tcW w:type="dxa" w:w="1000"/>
            <w:shd w:fill="F2F2F2" w:color="auto" w:val="clear"/>
            <w:tcMar>
              <w:top w:type="dxa" w:w="60"/>
              <w:left w:type="dxa" w:w="90"/>
              <w:bottom w:type="dxa" w:w="60"/>
              <w:right w:type="dxa" w:w="90"/>
            </w:tcMar>
            <w:vAlign w:val="center"/>
          </w:tcPr>
          <w:p>
            <w:pPr>
              <w:spacing w:after="40" w:before="40" w:line="240"/>
              <w:jc w:val="left"/>
            </w:pPr>
          </w:p>
        </w:tc>
        <w:tc>
          <w:tcPr>
            <w:tcW w:type="dxa" w:w="1000"/>
            <w:shd w:fill="F2F2F2" w:color="auto" w:val="clear"/>
            <w:tcMar>
              <w:top w:type="dxa" w:w="60"/>
              <w:left w:type="dxa" w:w="90"/>
              <w:bottom w:type="dxa" w:w="60"/>
              <w:right w:type="dxa" w:w="90"/>
            </w:tcMar>
            <w:vAlign w:val="center"/>
          </w:tcPr>
          <w:p>
            <w:pPr>
              <w:spacing w:after="40" w:before="40" w:line="240"/>
              <w:jc w:val="left"/>
            </w:pPr>
          </w:p>
        </w:tc>
        <w:tc>
          <w:tcPr>
            <w:tcW w:type="dxa" w:w="1000"/>
            <w:shd w:fill="F2F2F2" w:color="auto" w:val="clear"/>
            <w:tcMar>
              <w:top w:type="dxa" w:w="60"/>
              <w:left w:type="dxa" w:w="90"/>
              <w:bottom w:type="dxa" w:w="60"/>
              <w:right w:type="dxa" w:w="90"/>
            </w:tcMar>
            <w:vAlign w:val="center"/>
          </w:tcPr>
          <w:p>
            <w:pPr>
              <w:spacing w:after="40" w:before="40" w:line="240"/>
              <w:jc w:val="left"/>
            </w:pPr>
          </w:p>
        </w:tc>
        <w:tc>
          <w:tcPr>
            <w:tcW w:type="dxa" w:w="1000"/>
            <w:shd w:fill="F2F2F2" w:color="auto" w:val="clear"/>
            <w:tcMar>
              <w:top w:type="dxa" w:w="60"/>
              <w:left w:type="dxa" w:w="90"/>
              <w:bottom w:type="dxa" w:w="60"/>
              <w:right w:type="dxa" w:w="90"/>
            </w:tcMar>
            <w:vAlign w:val="center"/>
          </w:tcPr>
          <w:p>
            <w:pPr>
              <w:spacing w:after="40" w:before="40" w:line="240"/>
              <w:jc w:val="left"/>
            </w:pPr>
          </w:p>
        </w:tc>
      </w:tr>
      <w:tr>
        <w:tc>
          <w:tcPr>
            <w:tcW w:type="dxa" w:w="3600"/>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sz w:val="19"/>
                <w:szCs w:val="19"/>
              </w:rPr>
              <w:t xml:space="preserve">MARGEN SOBRE EL COLCHÓN</w:t>
            </w:r>
          </w:p>
        </w:tc>
        <w:tc>
          <w:tcPr>
            <w:tcW w:type="dxa" w:w="1000"/>
            <w:tcMar>
              <w:top w:type="dxa" w:w="60"/>
              <w:left w:type="dxa" w:w="90"/>
              <w:bottom w:type="dxa" w:w="60"/>
              <w:right w:type="dxa" w:w="90"/>
            </w:tcMar>
            <w:vAlign w:val="center"/>
          </w:tcPr>
          <w:p>
            <w:pPr>
              <w:spacing w:after="40" w:before="40" w:line="240"/>
              <w:jc w:val="left"/>
            </w:pPr>
          </w:p>
        </w:tc>
        <w:tc>
          <w:tcPr>
            <w:tcW w:type="dxa" w:w="1000"/>
            <w:tcMar>
              <w:top w:type="dxa" w:w="60"/>
              <w:left w:type="dxa" w:w="90"/>
              <w:bottom w:type="dxa" w:w="60"/>
              <w:right w:type="dxa" w:w="90"/>
            </w:tcMar>
            <w:vAlign w:val="center"/>
          </w:tcPr>
          <w:p>
            <w:pPr>
              <w:spacing w:after="40" w:before="40" w:line="240"/>
              <w:jc w:val="left"/>
            </w:pPr>
          </w:p>
        </w:tc>
        <w:tc>
          <w:tcPr>
            <w:tcW w:type="dxa" w:w="1000"/>
            <w:tcMar>
              <w:top w:type="dxa" w:w="60"/>
              <w:left w:type="dxa" w:w="90"/>
              <w:bottom w:type="dxa" w:w="60"/>
              <w:right w:type="dxa" w:w="90"/>
            </w:tcMar>
            <w:vAlign w:val="center"/>
          </w:tcPr>
          <w:p>
            <w:pPr>
              <w:spacing w:after="40" w:before="40" w:line="240"/>
              <w:jc w:val="left"/>
            </w:pPr>
          </w:p>
        </w:tc>
        <w:tc>
          <w:tcPr>
            <w:tcW w:type="dxa" w:w="1000"/>
            <w:tcMar>
              <w:top w:type="dxa" w:w="60"/>
              <w:left w:type="dxa" w:w="90"/>
              <w:bottom w:type="dxa" w:w="60"/>
              <w:right w:type="dxa" w:w="90"/>
            </w:tcMar>
            <w:vAlign w:val="center"/>
          </w:tcPr>
          <w:p>
            <w:pPr>
              <w:spacing w:after="40" w:before="40" w:line="240"/>
              <w:jc w:val="left"/>
            </w:pPr>
          </w:p>
        </w:tc>
        <w:tc>
          <w:tcPr>
            <w:tcW w:type="dxa" w:w="1000"/>
            <w:tcMar>
              <w:top w:type="dxa" w:w="60"/>
              <w:left w:type="dxa" w:w="90"/>
              <w:bottom w:type="dxa" w:w="60"/>
              <w:right w:type="dxa" w:w="90"/>
            </w:tcMar>
            <w:vAlign w:val="center"/>
          </w:tcPr>
          <w:p>
            <w:pPr>
              <w:spacing w:after="40" w:before="40" w:line="240"/>
              <w:jc w:val="left"/>
            </w:pPr>
          </w:p>
        </w:tc>
        <w:tc>
          <w:tcPr>
            <w:tcW w:type="dxa" w:w="1000"/>
            <w:tcMar>
              <w:top w:type="dxa" w:w="60"/>
              <w:left w:type="dxa" w:w="90"/>
              <w:bottom w:type="dxa" w:w="60"/>
              <w:right w:type="dxa" w:w="90"/>
            </w:tcMar>
            <w:vAlign w:val="center"/>
          </w:tcPr>
          <w:p>
            <w:pPr>
              <w:spacing w:after="40" w:before="40" w:line="240"/>
              <w:jc w:val="left"/>
            </w:pPr>
          </w:p>
        </w:tc>
      </w:tr>
    </w:tbl>
    <w:p>
      <w:pPr>
        <w:pStyle w:val="Heading1"/>
        <w:pageBreakBefore/>
        <w:pBdr>
          <w:bottom w:val="single" w:color="2E74B5" w:sz="8" w:space="6"/>
        </w:pBdr>
        <w:spacing w:after="180" w:before="240"/>
      </w:pPr>
      <w:r>
        <w:rPr>
          <w:rFonts w:ascii="Calibri" w:cs="Calibri" w:eastAsia="Calibri" w:hAnsi="Calibri"/>
          <w:b/>
          <w:bCs/>
          <w:color w:val="1F3864"/>
          <w:sz w:val="30"/>
          <w:szCs w:val="30"/>
        </w:rPr>
        <w:t xml:space="preserve">Anexo C. Guion de llamada con proveedor</w:t>
      </w:r>
    </w:p>
    <w:p>
      <w:pPr>
        <w:spacing w:after="120" w:line="264"/>
        <w:jc w:val="both"/>
      </w:pPr>
      <w:r>
        <w:rPr>
          <w:rFonts w:ascii="Calibri" w:cs="Calibri" w:eastAsia="Calibri" w:hAnsi="Calibri"/>
          <w:b w:val="false"/>
          <w:bCs w:val="false"/>
          <w:i w:val="false"/>
          <w:iCs w:val="false"/>
          <w:sz w:val="21"/>
          <w:szCs w:val="21"/>
        </w:rPr>
        <w:t xml:space="preserve">Este guion sirve tanto para las llamadas que hacemos nosotros como para responder a las que recibimos. La regla que lo sostiene: </w:t>
      </w:r>
      <w:r>
        <w:rPr>
          <w:rFonts w:ascii="Calibri" w:cs="Calibri" w:eastAsia="Calibri" w:hAnsi="Calibri"/>
          <w:b/>
          <w:bCs/>
          <w:i w:val="false"/>
          <w:iCs w:val="false"/>
          <w:sz w:val="21"/>
          <w:szCs w:val="21"/>
        </w:rPr>
        <w:t xml:space="preserve">nunca se promete lo que no está en el presupuesto de tesorería.</w:t>
      </w:r>
    </w:p>
    <w:p>
      <w:pPr>
        <w:pStyle w:val="Heading2"/>
        <w:spacing w:after="120" w:before="260"/>
      </w:pPr>
      <w:r>
        <w:rPr>
          <w:rFonts w:ascii="Calibri" w:cs="Calibri" w:eastAsia="Calibri" w:hAnsi="Calibri"/>
          <w:b/>
          <w:bCs/>
          <w:color w:val="2E74B5"/>
          <w:sz w:val="24"/>
          <w:szCs w:val="24"/>
        </w:rPr>
        <w:t xml:space="preserve">Paso 1 — Reconocer, sin excusas</w:t>
      </w:r>
    </w:p>
    <w:tbl>
      <w:tblPr>
        <w:tblW w:type="dxa" w:w="9600"/>
        <w:tblBorders>
          <w:top w:val="single" w:color="C6E0B4" w:sz="2"/>
          <w:left w:val="single" w:color="2E74B5" w:sz="18"/>
          <w:bottom w:val="single" w:color="C6E0B4" w:sz="2"/>
          <w:right w:val="single" w:color="C6E0B4" w:sz="2"/>
          <w:insideH w:val="none"/>
          <w:insideV w:val="none"/>
        </w:tblBorders>
      </w:tblPr>
      <w:tblGrid>
        <w:gridCol w:w="9600"/>
      </w:tblGrid>
      <w:tr>
        <w:tc>
          <w:tcPr>
            <w:tcW w:type="dxa" w:w="9600"/>
            <w:shd w:fill="C6E0B4" w:color="auto" w:val="clear"/>
            <w:tcMar>
              <w:top w:type="dxa" w:w="140"/>
              <w:left w:type="dxa" w:w="200"/>
              <w:bottom w:type="dxa" w:w="140"/>
              <w:right w:type="dxa" w:w="200"/>
            </w:tcMar>
          </w:tcPr>
          <w:p>
            <w:pPr>
              <w:spacing w:after="60" w:line="252"/>
              <w:jc w:val="both"/>
            </w:pPr>
            <w:r>
              <w:rPr>
                <w:rFonts w:ascii="Calibri" w:cs="Calibri" w:eastAsia="Calibri" w:hAnsi="Calibri"/>
                <w:b w:val="false"/>
                <w:bCs w:val="false"/>
                <w:i w:val="false"/>
                <w:iCs w:val="false"/>
                <w:sz w:val="20"/>
                <w:szCs w:val="20"/>
              </w:rPr>
              <w:t xml:space="preserve">*"Buenos días. Te llamo de Transportes Araya por las facturas pendientes. Antes de nada: la deuda es correcta, la tenemos reconocida y registrada, y no vamos a discutir importes."*</w:t>
            </w:r>
          </w:p>
        </w:tc>
      </w:tr>
    </w:tbl>
    <w:p>
      <w:pPr>
        <w:spacing w:after="120" w:line="264"/>
        <w:jc w:val="both"/>
      </w:pPr>
      <w:r>
        <w:rPr>
          <w:rFonts w:ascii="Calibri" w:cs="Calibri" w:eastAsia="Calibri" w:hAnsi="Calibri"/>
          <w:b w:val="false"/>
          <w:bCs w:val="false"/>
          <w:i w:val="false"/>
          <w:iCs w:val="false"/>
          <w:sz w:val="21"/>
          <w:szCs w:val="21"/>
        </w:rPr>
        <w:t xml:space="preserve">Reconocer la deuda desarma la mitad de la tensión. Casi toda la agresividad de un acreedor nace del miedo a que se le niegue o se le dé largas.</w:t>
      </w:r>
    </w:p>
    <w:p>
      <w:pPr>
        <w:pStyle w:val="Heading2"/>
        <w:spacing w:after="120" w:before="260"/>
      </w:pPr>
      <w:r>
        <w:rPr>
          <w:rFonts w:ascii="Calibri" w:cs="Calibri" w:eastAsia="Calibri" w:hAnsi="Calibri"/>
          <w:b/>
          <w:bCs/>
          <w:color w:val="2E74B5"/>
          <w:sz w:val="24"/>
          <w:szCs w:val="24"/>
        </w:rPr>
        <w:t xml:space="preserve">Paso 2 — Explicar en una frase, sin dramatizar</w:t>
      </w:r>
    </w:p>
    <w:tbl>
      <w:tblPr>
        <w:tblW w:type="dxa" w:w="9600"/>
        <w:tblBorders>
          <w:top w:val="single" w:color="C6E0B4" w:sz="2"/>
          <w:left w:val="single" w:color="2E74B5" w:sz="18"/>
          <w:bottom w:val="single" w:color="C6E0B4" w:sz="2"/>
          <w:right w:val="single" w:color="C6E0B4" w:sz="2"/>
          <w:insideH w:val="none"/>
          <w:insideV w:val="none"/>
        </w:tblBorders>
      </w:tblPr>
      <w:tblGrid>
        <w:gridCol w:w="9600"/>
      </w:tblGrid>
      <w:tr>
        <w:tc>
          <w:tcPr>
            <w:tcW w:type="dxa" w:w="9600"/>
            <w:shd w:fill="C6E0B4" w:color="auto" w:val="clear"/>
            <w:tcMar>
              <w:top w:type="dxa" w:w="140"/>
              <w:left w:type="dxa" w:w="200"/>
              <w:bottom w:type="dxa" w:w="140"/>
              <w:right w:type="dxa" w:w="200"/>
            </w:tcMar>
          </w:tcPr>
          <w:p>
            <w:pPr>
              <w:spacing w:after="60" w:line="252"/>
              <w:jc w:val="both"/>
            </w:pPr>
            <w:r>
              <w:rPr>
                <w:rFonts w:ascii="Calibri" w:cs="Calibri" w:eastAsia="Calibri" w:hAnsi="Calibri"/>
                <w:b w:val="false"/>
                <w:bCs w:val="false"/>
                <w:i w:val="false"/>
                <w:iCs w:val="false"/>
                <w:sz w:val="20"/>
                <w:szCs w:val="20"/>
              </w:rPr>
              <w:t xml:space="preserve">*"Estamos en un desfase de tesorería por retrasos en el cobro de clientes. La empresa está operando con normalidad y tenemos un plan de pagos ordenado en marcha."*</w:t>
            </w:r>
          </w:p>
        </w:tc>
      </w:tr>
    </w:tbl>
    <w:p>
      <w:pPr>
        <w:spacing w:after="120" w:line="264"/>
        <w:jc w:val="both"/>
      </w:pPr>
      <w:r>
        <w:rPr>
          <w:rFonts w:ascii="Calibri" w:cs="Calibri" w:eastAsia="Calibri" w:hAnsi="Calibri"/>
          <w:b w:val="false"/>
          <w:bCs w:val="false"/>
          <w:i w:val="false"/>
          <w:iCs w:val="false"/>
          <w:sz w:val="21"/>
          <w:szCs w:val="21"/>
        </w:rPr>
        <w:t xml:space="preserve">Una frase. Ni justificaciones largas ni detalles de la situación financiera: transmite control, no drama.</w:t>
      </w:r>
    </w:p>
    <w:p>
      <w:pPr>
        <w:pStyle w:val="Heading2"/>
        <w:spacing w:after="120" w:before="260"/>
      </w:pPr>
      <w:r>
        <w:rPr>
          <w:rFonts w:ascii="Calibri" w:cs="Calibri" w:eastAsia="Calibri" w:hAnsi="Calibri"/>
          <w:b/>
          <w:bCs/>
          <w:color w:val="2E74B5"/>
          <w:sz w:val="24"/>
          <w:szCs w:val="24"/>
        </w:rPr>
        <w:t xml:space="preserve">Paso 3 — Proponer nosotros, no esperar la propuesta</w:t>
      </w:r>
    </w:p>
    <w:tbl>
      <w:tblPr>
        <w:tblW w:type="dxa" w:w="9600"/>
        <w:tblBorders>
          <w:top w:val="single" w:color="C6E0B4" w:sz="2"/>
          <w:left w:val="single" w:color="2E74B5" w:sz="18"/>
          <w:bottom w:val="single" w:color="C6E0B4" w:sz="2"/>
          <w:right w:val="single" w:color="C6E0B4" w:sz="2"/>
          <w:insideH w:val="none"/>
          <w:insideV w:val="none"/>
        </w:tblBorders>
      </w:tblPr>
      <w:tblGrid>
        <w:gridCol w:w="9600"/>
      </w:tblGrid>
      <w:tr>
        <w:tc>
          <w:tcPr>
            <w:tcW w:type="dxa" w:w="9600"/>
            <w:shd w:fill="C6E0B4" w:color="auto" w:val="clear"/>
            <w:tcMar>
              <w:top w:type="dxa" w:w="140"/>
              <w:left w:type="dxa" w:w="200"/>
              <w:bottom w:type="dxa" w:w="140"/>
              <w:right w:type="dxa" w:w="200"/>
            </w:tcMar>
          </w:tcPr>
          <w:p>
            <w:pPr>
              <w:spacing w:after="60" w:line="252"/>
              <w:jc w:val="both"/>
            </w:pPr>
            <w:r>
              <w:rPr>
                <w:rFonts w:ascii="Calibri" w:cs="Calibri" w:eastAsia="Calibri" w:hAnsi="Calibri"/>
                <w:b w:val="false"/>
                <w:bCs w:val="false"/>
                <w:i w:val="false"/>
                <w:iCs w:val="false"/>
                <w:sz w:val="20"/>
                <w:szCs w:val="20"/>
              </w:rPr>
              <w:t xml:space="preserve">*"Lo que te propongo es concreto: [X] € el día [fecha] y [X] € el día [fecha] hasta liquidar el saldo. A partir de ahora, el consumo corriente lo pagamos [al contado / a 15 días]."*</w:t>
            </w:r>
          </w:p>
        </w:tc>
      </w:tr>
    </w:tbl>
    <w:p>
      <w:pPr>
        <w:spacing w:after="120" w:line="264"/>
        <w:jc w:val="both"/>
      </w:pPr>
      <w:r>
        <w:rPr>
          <w:rFonts w:ascii="Calibri" w:cs="Calibri" w:eastAsia="Calibri" w:hAnsi="Calibri"/>
          <w:b w:val="false"/>
          <w:bCs w:val="false"/>
          <w:i w:val="false"/>
          <w:iCs w:val="false"/>
          <w:sz w:val="21"/>
          <w:szCs w:val="21"/>
        </w:rPr>
        <w:t xml:space="preserve">Quien propone, marca el marco. Y un calendario con fechas ciertas es mucho más creíble que un "en cuanto podamos".</w:t>
      </w:r>
    </w:p>
    <w:p>
      <w:pPr>
        <w:pStyle w:val="Heading2"/>
        <w:spacing w:after="120" w:before="260"/>
      </w:pPr>
      <w:r>
        <w:rPr>
          <w:rFonts w:ascii="Calibri" w:cs="Calibri" w:eastAsia="Calibri" w:hAnsi="Calibri"/>
          <w:b/>
          <w:bCs/>
          <w:color w:val="2E74B5"/>
          <w:sz w:val="24"/>
          <w:szCs w:val="24"/>
        </w:rPr>
        <w:t xml:space="preserve">Paso 4 — Pedir la contrapartida</w:t>
      </w:r>
    </w:p>
    <w:tbl>
      <w:tblPr>
        <w:tblW w:type="dxa" w:w="9600"/>
        <w:tblBorders>
          <w:top w:val="single" w:color="C6E0B4" w:sz="2"/>
          <w:left w:val="single" w:color="2E74B5" w:sz="18"/>
          <w:bottom w:val="single" w:color="C6E0B4" w:sz="2"/>
          <w:right w:val="single" w:color="C6E0B4" w:sz="2"/>
          <w:insideH w:val="none"/>
          <w:insideV w:val="none"/>
        </w:tblBorders>
      </w:tblPr>
      <w:tblGrid>
        <w:gridCol w:w="9600"/>
      </w:tblGrid>
      <w:tr>
        <w:tc>
          <w:tcPr>
            <w:tcW w:type="dxa" w:w="9600"/>
            <w:shd w:fill="C6E0B4" w:color="auto" w:val="clear"/>
            <w:tcMar>
              <w:top w:type="dxa" w:w="140"/>
              <w:left w:type="dxa" w:w="200"/>
              <w:bottom w:type="dxa" w:w="140"/>
              <w:right w:type="dxa" w:w="200"/>
            </w:tcMar>
          </w:tcPr>
          <w:p>
            <w:pPr>
              <w:spacing w:after="60" w:line="252"/>
              <w:jc w:val="both"/>
            </w:pPr>
            <w:r>
              <w:rPr>
                <w:rFonts w:ascii="Calibri" w:cs="Calibri" w:eastAsia="Calibri" w:hAnsi="Calibri"/>
                <w:b w:val="false"/>
                <w:bCs w:val="false"/>
                <w:i w:val="false"/>
                <w:iCs w:val="false"/>
                <w:sz w:val="20"/>
                <w:szCs w:val="20"/>
              </w:rPr>
              <w:t xml:space="preserve">*"A cambio te pido que mantengamos el suministro con normalidad. Si paramos camiones, no facturamos, y entonces no te puedo pagar ni a ti ni a nadie. Con suministro, este calendario se cumple."*</w:t>
            </w:r>
          </w:p>
        </w:tc>
      </w:tr>
    </w:tbl>
    <w:p>
      <w:pPr>
        <w:pStyle w:val="Heading2"/>
        <w:spacing w:after="120" w:before="260"/>
      </w:pPr>
      <w:r>
        <w:rPr>
          <w:rFonts w:ascii="Calibri" w:cs="Calibri" w:eastAsia="Calibri" w:hAnsi="Calibri"/>
          <w:b/>
          <w:bCs/>
          <w:color w:val="2E74B5"/>
          <w:sz w:val="24"/>
          <w:szCs w:val="24"/>
        </w:rPr>
        <w:t xml:space="preserve">Paso 5 — Cerrar con concreción</w:t>
      </w:r>
    </w:p>
    <w:p>
      <w:pPr>
        <w:pStyle w:val="ListParagraph"/>
        <w:numPr>
          <w:ilvl w:val="0"/>
          <w:numId w:val="3"/>
        </w:numPr>
        <w:spacing w:after="70" w:line="264"/>
        <w:jc w:val="both"/>
      </w:pPr>
      <w:r>
        <w:rPr>
          <w:rFonts w:ascii="Calibri" w:cs="Calibri" w:eastAsia="Calibri" w:hAnsi="Calibri"/>
          <w:b w:val="false"/>
          <w:bCs w:val="false"/>
          <w:i w:val="false"/>
          <w:iCs w:val="false"/>
          <w:sz w:val="21"/>
          <w:szCs w:val="21"/>
        </w:rPr>
        <w:t xml:space="preserve">Importe exacto de cada cuota.</w:t>
      </w:r>
    </w:p>
    <w:p>
      <w:pPr>
        <w:pStyle w:val="ListParagraph"/>
        <w:numPr>
          <w:ilvl w:val="0"/>
          <w:numId w:val="3"/>
        </w:numPr>
        <w:spacing w:after="70" w:line="264"/>
        <w:jc w:val="both"/>
      </w:pPr>
      <w:r>
        <w:rPr>
          <w:rFonts w:ascii="Calibri" w:cs="Calibri" w:eastAsia="Calibri" w:hAnsi="Calibri"/>
          <w:b w:val="false"/>
          <w:bCs w:val="false"/>
          <w:i w:val="false"/>
          <w:iCs w:val="false"/>
          <w:sz w:val="21"/>
          <w:szCs w:val="21"/>
        </w:rPr>
        <w:t xml:space="preserve">Fecha exacta de cada pago y forma de pago (transferencia, domiciliación, pagaré).</w:t>
      </w:r>
    </w:p>
    <w:p>
      <w:pPr>
        <w:pStyle w:val="ListParagraph"/>
        <w:numPr>
          <w:ilvl w:val="0"/>
          <w:numId w:val="3"/>
        </w:numPr>
        <w:spacing w:after="70" w:line="264"/>
        <w:jc w:val="both"/>
      </w:pPr>
      <w:r>
        <w:rPr>
          <w:rFonts w:ascii="Calibri" w:cs="Calibri" w:eastAsia="Calibri" w:hAnsi="Calibri"/>
          <w:b w:val="false"/>
          <w:bCs w:val="false"/>
          <w:i w:val="false"/>
          <w:iCs w:val="false"/>
          <w:sz w:val="21"/>
          <w:szCs w:val="21"/>
        </w:rPr>
        <w:t xml:space="preserve">Qué ocurre con el consumo corriente a partir de hoy.</w:t>
      </w:r>
    </w:p>
    <w:p>
      <w:pPr>
        <w:pStyle w:val="ListParagraph"/>
        <w:numPr>
          <w:ilvl w:val="0"/>
          <w:numId w:val="3"/>
        </w:numPr>
        <w:spacing w:after="70" w:line="264"/>
        <w:jc w:val="both"/>
      </w:pPr>
      <w:r>
        <w:rPr>
          <w:rFonts w:ascii="Calibri" w:cs="Calibri" w:eastAsia="Calibri" w:hAnsi="Calibri"/>
          <w:b w:val="false"/>
          <w:bCs w:val="false"/>
          <w:i w:val="false"/>
          <w:iCs w:val="false"/>
          <w:sz w:val="21"/>
          <w:szCs w:val="21"/>
        </w:rPr>
        <w:t xml:space="preserve">Nombre y contacto del interlocutor de cada parte.</w:t>
      </w:r>
    </w:p>
    <w:p>
      <w:pPr>
        <w:pStyle w:val="Heading2"/>
        <w:spacing w:after="120" w:before="260"/>
      </w:pPr>
      <w:r>
        <w:rPr>
          <w:rFonts w:ascii="Calibri" w:cs="Calibri" w:eastAsia="Calibri" w:hAnsi="Calibri"/>
          <w:b/>
          <w:bCs/>
          <w:color w:val="2E74B5"/>
          <w:sz w:val="24"/>
          <w:szCs w:val="24"/>
        </w:rPr>
        <w:t xml:space="preserve">Paso 6 — Confirmar por escrito el mismo día</w:t>
      </w:r>
    </w:p>
    <w:p>
      <w:pPr>
        <w:spacing w:after="120" w:line="264"/>
        <w:jc w:val="both"/>
      </w:pPr>
      <w:r>
        <w:rPr>
          <w:rFonts w:ascii="Calibri" w:cs="Calibri" w:eastAsia="Calibri" w:hAnsi="Calibri"/>
          <w:b w:val="false"/>
          <w:bCs w:val="false"/>
          <w:i w:val="false"/>
          <w:iCs w:val="false"/>
          <w:sz w:val="21"/>
          <w:szCs w:val="21"/>
        </w:rPr>
        <w:t xml:space="preserve">Un email de dos párrafos con lo acordado, enviado el mismo día, y anotación en el Registro del Anexo E. Sin ese email, el acuerdo no existe.</w:t>
      </w:r>
    </w:p>
    <w:tbl>
      <w:tblPr>
        <w:tblW w:type="dxa" w:w="9600"/>
        <w:tblBorders>
          <w:top w:val="single" w:color="FFE699" w:sz="2"/>
          <w:left w:val="single" w:color="2E74B5" w:sz="18"/>
          <w:bottom w:val="single" w:color="FFE699" w:sz="2"/>
          <w:right w:val="single" w:color="FFE699" w:sz="2"/>
          <w:insideH w:val="none"/>
          <w:insideV w:val="none"/>
        </w:tblBorders>
      </w:tblPr>
      <w:tblGrid>
        <w:gridCol w:w="9600"/>
      </w:tblGrid>
      <w:tr>
        <w:tc>
          <w:tcPr>
            <w:tcW w:type="dxa" w:w="9600"/>
            <w:shd w:fill="FFE699" w:color="auto" w:val="clear"/>
            <w:tcMar>
              <w:top w:type="dxa" w:w="140"/>
              <w:left w:type="dxa" w:w="200"/>
              <w:bottom w:type="dxa" w:w="140"/>
              <w:right w:type="dxa" w:w="200"/>
            </w:tcMar>
          </w:tcPr>
          <w:p>
            <w:pPr>
              <w:spacing w:after="80" w:before="40"/>
            </w:pPr>
            <w:r>
              <w:rPr>
                <w:rFonts w:ascii="Calibri" w:cs="Calibri" w:eastAsia="Calibri" w:hAnsi="Calibri"/>
                <w:b/>
                <w:bCs/>
                <w:i w:val="false"/>
                <w:iCs w:val="false"/>
                <w:color w:val="1F3864"/>
                <w:sz w:val="21"/>
                <w:szCs w:val="21"/>
              </w:rPr>
              <w:t xml:space="preserve">Si la conversación se pone agresiva</w:t>
            </w:r>
          </w:p>
          <w:p>
            <w:pPr>
              <w:spacing w:after="60" w:line="252"/>
              <w:jc w:val="both"/>
            </w:pPr>
            <w:r>
              <w:rPr>
                <w:rFonts w:ascii="Calibri" w:cs="Calibri" w:eastAsia="Calibri" w:hAnsi="Calibri"/>
                <w:b w:val="false"/>
                <w:bCs w:val="false"/>
                <w:i w:val="false"/>
                <w:iCs w:val="false"/>
                <w:sz w:val="20"/>
                <w:szCs w:val="20"/>
              </w:rPr>
              <w:t xml:space="preserve">*"Entiendo perfectamente tu posición y tienes razón en reclamar. Yo no te voy a dar una fecha que no podamos cumplir. Te la mando por escrito hoy y la cumplimos."*</w:t>
            </w:r>
          </w:p>
          <w:p>
            <w:pPr>
              <w:spacing w:after="60" w:line="252"/>
              <w:jc w:val="both"/>
            </w:pPr>
            <w:r>
              <w:rPr>
                <w:rFonts w:ascii="Calibri" w:cs="Calibri" w:eastAsia="Calibri" w:hAnsi="Calibri"/>
                <w:b w:val="false"/>
                <w:bCs w:val="false"/>
                <w:i w:val="false"/>
                <w:iCs w:val="false"/>
                <w:sz w:val="20"/>
                <w:szCs w:val="20"/>
              </w:rPr>
              <w:t xml:space="preserve">No se entra en la discusión personal, no se cuelga y no se promete para salir del paso. Y si hay amenazas que excedan la reclamación legítima de una deuda, se anota en el registro con fecha, hora y contenido, y se consulta con la asesoría.</w:t>
            </w:r>
          </w:p>
        </w:tc>
      </w:tr>
    </w:tbl>
    <w:p>
      <w:pPr>
        <w:pStyle w:val="Heading1"/>
        <w:pageBreakBefore/>
        <w:pBdr>
          <w:bottom w:val="single" w:color="2E74B5" w:sz="8" w:space="6"/>
        </w:pBdr>
        <w:spacing w:after="180" w:before="240"/>
      </w:pPr>
      <w:r>
        <w:rPr>
          <w:rFonts w:ascii="Calibri" w:cs="Calibri" w:eastAsia="Calibri" w:hAnsi="Calibri"/>
          <w:b/>
          <w:bCs/>
          <w:color w:val="1F3864"/>
          <w:sz w:val="30"/>
          <w:szCs w:val="30"/>
        </w:rPr>
        <w:t xml:space="preserve">Anexo D. Modelos de comunicación escrita</w:t>
      </w:r>
    </w:p>
    <w:p>
      <w:pPr>
        <w:pStyle w:val="Heading2"/>
        <w:spacing w:after="120" w:before="260"/>
      </w:pPr>
      <w:r>
        <w:rPr>
          <w:rFonts w:ascii="Calibri" w:cs="Calibri" w:eastAsia="Calibri" w:hAnsi="Calibri"/>
          <w:b/>
          <w:bCs/>
          <w:color w:val="2E74B5"/>
          <w:sz w:val="24"/>
          <w:szCs w:val="24"/>
        </w:rPr>
        <w:t xml:space="preserve">D.1. Comunicación del canal único de pagos</w:t>
      </w:r>
    </w:p>
    <w:tbl>
      <w:tblPr>
        <w:tblW w:type="dxa" w:w="9600"/>
        <w:tblBorders>
          <w:top w:val="single" w:color="DEEAF6" w:sz="2"/>
          <w:left w:val="single" w:color="2E74B5" w:sz="18"/>
          <w:bottom w:val="single" w:color="DEEAF6" w:sz="2"/>
          <w:right w:val="single" w:color="DEEAF6" w:sz="2"/>
          <w:insideH w:val="none"/>
          <w:insideV w:val="none"/>
        </w:tblBorders>
      </w:tblPr>
      <w:tblGrid>
        <w:gridCol w:w="9600"/>
      </w:tblGrid>
      <w:tr>
        <w:tc>
          <w:tcPr>
            <w:tcW w:type="dxa" w:w="9600"/>
            <w:shd w:fill="DEEAF6" w:color="auto" w:val="clear"/>
            <w:tcMar>
              <w:top w:type="dxa" w:w="140"/>
              <w:left w:type="dxa" w:w="200"/>
              <w:bottom w:type="dxa" w:w="140"/>
              <w:right w:type="dxa" w:w="200"/>
            </w:tcMar>
          </w:tcPr>
          <w:p>
            <w:pPr>
              <w:spacing w:after="80" w:before="40"/>
            </w:pPr>
            <w:r>
              <w:rPr>
                <w:rFonts w:ascii="Calibri" w:cs="Calibri" w:eastAsia="Calibri" w:hAnsi="Calibri"/>
                <w:b/>
                <w:bCs/>
                <w:i w:val="false"/>
                <w:iCs w:val="false"/>
                <w:color w:val="1F3864"/>
                <w:sz w:val="21"/>
                <w:szCs w:val="21"/>
              </w:rPr>
              <w:t xml:space="preserve">Asunto: Transportes Araya — Nuevo canal de atención a proveedores</w:t>
            </w:r>
          </w:p>
          <w:p>
            <w:pPr>
              <w:spacing w:after="60" w:line="252"/>
              <w:jc w:val="both"/>
            </w:pPr>
            <w:r>
              <w:rPr>
                <w:rFonts w:ascii="Calibri" w:cs="Calibri" w:eastAsia="Calibri" w:hAnsi="Calibri"/>
                <w:b w:val="false"/>
                <w:bCs w:val="false"/>
                <w:i w:val="false"/>
                <w:iCs w:val="false"/>
                <w:sz w:val="20"/>
                <w:szCs w:val="20"/>
              </w:rPr>
              <w:t xml:space="preserve">Estimado proveedor:</w:t>
            </w:r>
          </w:p>
          <w:p>
            <w:pPr>
              <w:spacing w:after="60" w:line="252"/>
              <w:jc w:val="both"/>
            </w:pPr>
            <w:r>
              <w:rPr>
                <w:rFonts w:ascii="Calibri" w:cs="Calibri" w:eastAsia="Calibri" w:hAnsi="Calibri"/>
                <w:b w:val="false"/>
                <w:bCs w:val="false"/>
                <w:i w:val="false"/>
                <w:iCs w:val="false"/>
                <w:sz w:val="20"/>
                <w:szCs w:val="20"/>
              </w:rPr>
              <w:t xml:space="preserve">Con el objetivo de mejorar la atención y dar respuesta ágil a cualquier consulta sobre facturación y pagos, le informamos de que a partir de esta fecha toda la gestión relativa a facturas, vencimientos y calendarios de pago se centraliza en nuestro Departamento de Administración:</w:t>
            </w:r>
          </w:p>
          <w:p>
            <w:pPr>
              <w:spacing w:after="60" w:line="252"/>
              <w:jc w:val="both"/>
            </w:pPr>
            <w:r>
              <w:rPr>
                <w:rFonts w:ascii="Calibri" w:cs="Calibri" w:eastAsia="Calibri" w:hAnsi="Calibri"/>
                <w:b w:val="false"/>
                <w:bCs w:val="false"/>
                <w:i w:val="false"/>
                <w:iCs w:val="false"/>
                <w:sz w:val="20"/>
                <w:szCs w:val="20"/>
              </w:rPr>
              <w:t xml:space="preserve">Correo electrónico: [pagos@transportesaraya.es] · Teléfono: [número] · Horario de atención: [9:00 a 14:00, de lunes a viernes] · Persona de contacto: [nombre]</w:t>
            </w:r>
          </w:p>
          <w:p>
            <w:pPr>
              <w:spacing w:after="60" w:line="252"/>
              <w:jc w:val="both"/>
            </w:pPr>
            <w:r>
              <w:rPr>
                <w:rFonts w:ascii="Calibri" w:cs="Calibri" w:eastAsia="Calibri" w:hAnsi="Calibri"/>
                <w:b w:val="false"/>
                <w:bCs w:val="false"/>
                <w:i w:val="false"/>
                <w:iCs w:val="false"/>
                <w:sz w:val="20"/>
                <w:szCs w:val="20"/>
              </w:rPr>
              <w:t xml:space="preserve">Nos comprometemos a responder toda comunicación recibida por este canal en un plazo máximo de 48 horas hábiles, indicando la situación concreta de sus facturas.</w:t>
            </w:r>
          </w:p>
          <w:p>
            <w:pPr>
              <w:spacing w:after="60" w:line="252"/>
              <w:jc w:val="both"/>
            </w:pPr>
            <w:r>
              <w:rPr>
                <w:rFonts w:ascii="Calibri" w:cs="Calibri" w:eastAsia="Calibri" w:hAnsi="Calibri"/>
                <w:b w:val="false"/>
                <w:bCs w:val="false"/>
                <w:i w:val="false"/>
                <w:iCs w:val="false"/>
                <w:sz w:val="20"/>
                <w:szCs w:val="20"/>
              </w:rPr>
              <w:t xml:space="preserve">Agradecemos su colaboración y su confianza.</w:t>
            </w:r>
          </w:p>
          <w:p>
            <w:pPr>
              <w:spacing w:after="60" w:line="252"/>
              <w:jc w:val="both"/>
            </w:pPr>
            <w:r>
              <w:rPr>
                <w:rFonts w:ascii="Calibri" w:cs="Calibri" w:eastAsia="Calibri" w:hAnsi="Calibri"/>
                <w:b w:val="false"/>
                <w:bCs w:val="false"/>
                <w:i w:val="false"/>
                <w:iCs w:val="false"/>
                <w:sz w:val="20"/>
                <w:szCs w:val="20"/>
              </w:rPr>
              <w:t xml:space="preserve">Atentamente, Departamento de Administración — Transportes Araya</w:t>
            </w:r>
          </w:p>
        </w:tc>
      </w:tr>
    </w:tbl>
    <w:p>
      <w:pPr>
        <w:pStyle w:val="Heading2"/>
        <w:spacing w:after="120" w:before="260"/>
      </w:pPr>
      <w:r>
        <w:rPr>
          <w:rFonts w:ascii="Calibri" w:cs="Calibri" w:eastAsia="Calibri" w:hAnsi="Calibri"/>
          <w:b/>
          <w:bCs/>
          <w:color w:val="2E74B5"/>
          <w:sz w:val="24"/>
          <w:szCs w:val="24"/>
        </w:rPr>
        <w:t xml:space="preserve">D.2. Propuesta de calendario de pagos</w:t>
      </w:r>
    </w:p>
    <w:tbl>
      <w:tblPr>
        <w:tblW w:type="dxa" w:w="9600"/>
        <w:tblBorders>
          <w:top w:val="single" w:color="DEEAF6" w:sz="2"/>
          <w:left w:val="single" w:color="2E74B5" w:sz="18"/>
          <w:bottom w:val="single" w:color="DEEAF6" w:sz="2"/>
          <w:right w:val="single" w:color="DEEAF6" w:sz="2"/>
          <w:insideH w:val="none"/>
          <w:insideV w:val="none"/>
        </w:tblBorders>
      </w:tblPr>
      <w:tblGrid>
        <w:gridCol w:w="9600"/>
      </w:tblGrid>
      <w:tr>
        <w:tc>
          <w:tcPr>
            <w:tcW w:type="dxa" w:w="9600"/>
            <w:shd w:fill="DEEAF6" w:color="auto" w:val="clear"/>
            <w:tcMar>
              <w:top w:type="dxa" w:w="140"/>
              <w:left w:type="dxa" w:w="200"/>
              <w:bottom w:type="dxa" w:w="140"/>
              <w:right w:type="dxa" w:w="200"/>
            </w:tcMar>
          </w:tcPr>
          <w:p>
            <w:pPr>
              <w:spacing w:after="80" w:before="40"/>
            </w:pPr>
            <w:r>
              <w:rPr>
                <w:rFonts w:ascii="Calibri" w:cs="Calibri" w:eastAsia="Calibri" w:hAnsi="Calibri"/>
                <w:b/>
                <w:bCs/>
                <w:i w:val="false"/>
                <w:iCs w:val="false"/>
                <w:color w:val="1F3864"/>
                <w:sz w:val="21"/>
                <w:szCs w:val="21"/>
              </w:rPr>
              <w:t xml:space="preserve">Asunto: Propuesta de calendario de pagos — [Proveedor] — Transportes Araya</w:t>
            </w:r>
          </w:p>
          <w:p>
            <w:pPr>
              <w:spacing w:after="60" w:line="252"/>
              <w:jc w:val="both"/>
            </w:pPr>
            <w:r>
              <w:rPr>
                <w:rFonts w:ascii="Calibri" w:cs="Calibri" w:eastAsia="Calibri" w:hAnsi="Calibri"/>
                <w:b w:val="false"/>
                <w:bCs w:val="false"/>
                <w:i w:val="false"/>
                <w:iCs w:val="false"/>
                <w:sz w:val="20"/>
                <w:szCs w:val="20"/>
              </w:rPr>
              <w:t xml:space="preserve">Estimado [nombre]:</w:t>
            </w:r>
          </w:p>
          <w:p>
            <w:pPr>
              <w:spacing w:after="60" w:line="252"/>
              <w:jc w:val="both"/>
            </w:pPr>
            <w:r>
              <w:rPr>
                <w:rFonts w:ascii="Calibri" w:cs="Calibri" w:eastAsia="Calibri" w:hAnsi="Calibri"/>
                <w:b w:val="false"/>
                <w:bCs w:val="false"/>
                <w:i w:val="false"/>
                <w:iCs w:val="false"/>
                <w:sz w:val="20"/>
                <w:szCs w:val="20"/>
              </w:rPr>
              <w:t xml:space="preserve">Confirmamos el saldo pendiente con su empresa, que asciende a </w:t>
            </w:r>
            <w:r>
              <w:rPr>
                <w:rFonts w:ascii="Calibri" w:cs="Calibri" w:eastAsia="Calibri" w:hAnsi="Calibri"/>
                <w:b/>
                <w:bCs/>
                <w:i w:val="false"/>
                <w:iCs w:val="false"/>
                <w:sz w:val="20"/>
                <w:szCs w:val="20"/>
              </w:rPr>
              <w:t xml:space="preserve">[importe] €</w:t>
            </w:r>
            <w:r>
              <w:rPr>
                <w:rFonts w:ascii="Calibri" w:cs="Calibri" w:eastAsia="Calibri" w:hAnsi="Calibri"/>
                <w:b w:val="false"/>
                <w:bCs w:val="false"/>
                <w:i w:val="false"/>
                <w:iCs w:val="false"/>
                <w:sz w:val="20"/>
                <w:szCs w:val="20"/>
              </w:rPr>
              <w:t xml:space="preserve">, correspondiente a las facturas que se relacionan al final de este correo. La deuda está reconocida en su totalidad.</w:t>
            </w:r>
          </w:p>
          <w:p>
            <w:pPr>
              <w:spacing w:after="60" w:line="252"/>
              <w:jc w:val="both"/>
            </w:pPr>
            <w:r>
              <w:rPr>
                <w:rFonts w:ascii="Calibri" w:cs="Calibri" w:eastAsia="Calibri" w:hAnsi="Calibri"/>
                <w:b w:val="false"/>
                <w:bCs w:val="false"/>
                <w:i w:val="false"/>
                <w:iCs w:val="false"/>
                <w:sz w:val="20"/>
                <w:szCs w:val="20"/>
              </w:rPr>
              <w:t xml:space="preserve">Atravesamos un desfase temporal de tesorería derivado del retraso en el cobro de clientes. La actividad de la empresa continúa con normalidad y hemos implantado un plan de pagos ordenado, que queremos compartir con usted.</w:t>
            </w:r>
          </w:p>
          <w:p>
            <w:pPr>
              <w:spacing w:after="60" w:line="252"/>
              <w:jc w:val="both"/>
            </w:pPr>
            <w:r>
              <w:rPr>
                <w:rFonts w:ascii="Calibri" w:cs="Calibri" w:eastAsia="Calibri" w:hAnsi="Calibri"/>
                <w:b/>
                <w:bCs/>
                <w:i w:val="false"/>
                <w:iCs w:val="false"/>
                <w:sz w:val="20"/>
                <w:szCs w:val="20"/>
              </w:rPr>
              <w:t xml:space="preserve">Propuesta:</w:t>
            </w:r>
          </w:p>
          <w:p>
            <w:pPr>
              <w:spacing w:after="60" w:line="252"/>
              <w:jc w:val="both"/>
            </w:pPr>
            <w:r>
              <w:rPr>
                <w:rFonts w:ascii="Calibri" w:cs="Calibri" w:eastAsia="Calibri" w:hAnsi="Calibri"/>
                <w:b w:val="false"/>
                <w:bCs w:val="false"/>
                <w:i w:val="false"/>
                <w:iCs w:val="false"/>
                <w:sz w:val="20"/>
                <w:szCs w:val="20"/>
              </w:rPr>
              <w:t xml:space="preserve">· Saldo pendiente: [importe] €, mediante [n] cuotas mensuales de [importe] €, con vencimiento el día [X] de cada mes, a partir del [fecha].</w:t>
            </w:r>
          </w:p>
          <w:p>
            <w:pPr>
              <w:spacing w:after="60" w:line="252"/>
              <w:jc w:val="both"/>
            </w:pPr>
            <w:r>
              <w:rPr>
                <w:rFonts w:ascii="Calibri" w:cs="Calibri" w:eastAsia="Calibri" w:hAnsi="Calibri"/>
                <w:b w:val="false"/>
                <w:bCs w:val="false"/>
                <w:i w:val="false"/>
                <w:iCs w:val="false"/>
                <w:sz w:val="20"/>
                <w:szCs w:val="20"/>
              </w:rPr>
              <w:t xml:space="preserve">· Consumo corriente a partir de esta fecha: pago [al contado / a 15 días], mediante [forma de pago].</w:t>
            </w:r>
          </w:p>
          <w:p>
            <w:pPr>
              <w:spacing w:after="60" w:line="252"/>
              <w:jc w:val="both"/>
            </w:pPr>
            <w:r>
              <w:rPr>
                <w:rFonts w:ascii="Calibri" w:cs="Calibri" w:eastAsia="Calibri" w:hAnsi="Calibri"/>
                <w:b w:val="false"/>
                <w:bCs w:val="false"/>
                <w:i w:val="false"/>
                <w:iCs w:val="false"/>
                <w:sz w:val="20"/>
                <w:szCs w:val="20"/>
              </w:rPr>
              <w:t xml:space="preserve">· Solicitamos el mantenimiento de las condiciones de suministro habituales durante la vigencia de este calendario.</w:t>
            </w:r>
          </w:p>
          <w:p>
            <w:pPr>
              <w:spacing w:after="60" w:line="252"/>
              <w:jc w:val="both"/>
            </w:pPr>
            <w:r>
              <w:rPr>
                <w:rFonts w:ascii="Calibri" w:cs="Calibri" w:eastAsia="Calibri" w:hAnsi="Calibri"/>
                <w:b w:val="false"/>
                <w:bCs w:val="false"/>
                <w:i w:val="false"/>
                <w:iCs w:val="false"/>
                <w:sz w:val="20"/>
                <w:szCs w:val="20"/>
              </w:rPr>
              <w:t xml:space="preserve">Si la propuesta es conforme, le rogamos que nos lo confirme por esta misma vía. Si prefiere plantear una alternativa, quedamos a su disposición para estudiarla.</w:t>
            </w:r>
          </w:p>
          <w:p>
            <w:pPr>
              <w:spacing w:after="60" w:line="252"/>
              <w:jc w:val="both"/>
            </w:pPr>
            <w:r>
              <w:rPr>
                <w:rFonts w:ascii="Calibri" w:cs="Calibri" w:eastAsia="Calibri" w:hAnsi="Calibri"/>
                <w:b w:val="false"/>
                <w:bCs w:val="false"/>
                <w:i w:val="false"/>
                <w:iCs w:val="false"/>
                <w:sz w:val="20"/>
                <w:szCs w:val="20"/>
              </w:rPr>
              <w:t xml:space="preserve">Atentamente, [nombre] — Departamento de Administración, Transportes Araya</w:t>
            </w:r>
          </w:p>
        </w:tc>
      </w:tr>
    </w:tbl>
    <w:p>
      <w:pPr>
        <w:pStyle w:val="Heading2"/>
        <w:spacing w:after="120" w:before="260"/>
      </w:pPr>
      <w:r>
        <w:rPr>
          <w:rFonts w:ascii="Calibri" w:cs="Calibri" w:eastAsia="Calibri" w:hAnsi="Calibri"/>
          <w:b/>
          <w:bCs/>
          <w:color w:val="2E74B5"/>
          <w:sz w:val="24"/>
          <w:szCs w:val="24"/>
        </w:rPr>
        <w:t xml:space="preserve">D.3. Aviso anticipado de una cuota que no se podrá atender</w:t>
      </w:r>
    </w:p>
    <w:p>
      <w:pPr>
        <w:spacing w:after="120" w:line="264"/>
        <w:jc w:val="both"/>
      </w:pPr>
      <w:r>
        <w:rPr>
          <w:rFonts w:ascii="Calibri" w:cs="Calibri" w:eastAsia="Calibri" w:hAnsi="Calibri"/>
          <w:b w:val="false"/>
          <w:bCs w:val="false"/>
          <w:i w:val="false"/>
          <w:iCs w:val="false"/>
          <w:sz w:val="21"/>
          <w:szCs w:val="21"/>
        </w:rPr>
        <w:t xml:space="preserve">Modelo de uso excepcional, pero imprescindible: se envía </w:t>
      </w:r>
      <w:r>
        <w:rPr>
          <w:rFonts w:ascii="Calibri" w:cs="Calibri" w:eastAsia="Calibri" w:hAnsi="Calibri"/>
          <w:b/>
          <w:bCs/>
          <w:i w:val="false"/>
          <w:iCs w:val="false"/>
          <w:sz w:val="21"/>
          <w:szCs w:val="21"/>
        </w:rPr>
        <w:t xml:space="preserve">antes</w:t>
      </w:r>
      <w:r>
        <w:rPr>
          <w:rFonts w:ascii="Calibri" w:cs="Calibri" w:eastAsia="Calibri" w:hAnsi="Calibri"/>
          <w:b w:val="false"/>
          <w:bCs w:val="false"/>
          <w:i w:val="false"/>
          <w:iCs w:val="false"/>
          <w:sz w:val="21"/>
          <w:szCs w:val="21"/>
        </w:rPr>
        <w:t xml:space="preserve"> del vencimiento, nunca después.</w:t>
      </w:r>
    </w:p>
    <w:tbl>
      <w:tblPr>
        <w:tblW w:type="dxa" w:w="9600"/>
        <w:tblBorders>
          <w:top w:val="single" w:color="FFE699" w:sz="2"/>
          <w:left w:val="single" w:color="2E74B5" w:sz="18"/>
          <w:bottom w:val="single" w:color="FFE699" w:sz="2"/>
          <w:right w:val="single" w:color="FFE699" w:sz="2"/>
          <w:insideH w:val="none"/>
          <w:insideV w:val="none"/>
        </w:tblBorders>
      </w:tblPr>
      <w:tblGrid>
        <w:gridCol w:w="9600"/>
      </w:tblGrid>
      <w:tr>
        <w:tc>
          <w:tcPr>
            <w:tcW w:type="dxa" w:w="9600"/>
            <w:shd w:fill="FFE699" w:color="auto" w:val="clear"/>
            <w:tcMar>
              <w:top w:type="dxa" w:w="140"/>
              <w:left w:type="dxa" w:w="200"/>
              <w:bottom w:type="dxa" w:w="140"/>
              <w:right w:type="dxa" w:w="200"/>
            </w:tcMar>
          </w:tcPr>
          <w:p>
            <w:pPr>
              <w:spacing w:after="80" w:before="40"/>
            </w:pPr>
            <w:r>
              <w:rPr>
                <w:rFonts w:ascii="Calibri" w:cs="Calibri" w:eastAsia="Calibri" w:hAnsi="Calibri"/>
                <w:b/>
                <w:bCs/>
                <w:i w:val="false"/>
                <w:iCs w:val="false"/>
                <w:color w:val="1F3864"/>
                <w:sz w:val="21"/>
                <w:szCs w:val="21"/>
              </w:rPr>
              <w:t xml:space="preserve">Asunto: Cuota de [fecha] — comunicación previa</w:t>
            </w:r>
          </w:p>
          <w:p>
            <w:pPr>
              <w:spacing w:after="60" w:line="252"/>
              <w:jc w:val="both"/>
            </w:pPr>
            <w:r>
              <w:rPr>
                <w:rFonts w:ascii="Calibri" w:cs="Calibri" w:eastAsia="Calibri" w:hAnsi="Calibri"/>
                <w:b w:val="false"/>
                <w:bCs w:val="false"/>
                <w:i w:val="false"/>
                <w:iCs w:val="false"/>
                <w:sz w:val="20"/>
                <w:szCs w:val="20"/>
              </w:rPr>
              <w:t xml:space="preserve">Estimado [nombre]:</w:t>
            </w:r>
          </w:p>
          <w:p>
            <w:pPr>
              <w:spacing w:after="60" w:line="252"/>
              <w:jc w:val="both"/>
            </w:pPr>
            <w:r>
              <w:rPr>
                <w:rFonts w:ascii="Calibri" w:cs="Calibri" w:eastAsia="Calibri" w:hAnsi="Calibri"/>
                <w:b w:val="false"/>
                <w:bCs w:val="false"/>
                <w:i w:val="false"/>
                <w:iCs w:val="false"/>
                <w:sz w:val="20"/>
                <w:szCs w:val="20"/>
              </w:rPr>
              <w:t xml:space="preserve">Le escribo antes del vencimiento para anticiparle que la cuota prevista para el [fecha] no podrá atenderse en su importe completo, por [motivo concreto y breve].</w:t>
            </w:r>
          </w:p>
          <w:p>
            <w:pPr>
              <w:spacing w:after="60" w:line="252"/>
              <w:jc w:val="both"/>
            </w:pPr>
            <w:r>
              <w:rPr>
                <w:rFonts w:ascii="Calibri" w:cs="Calibri" w:eastAsia="Calibri" w:hAnsi="Calibri"/>
                <w:b w:val="false"/>
                <w:bCs w:val="false"/>
                <w:i w:val="false"/>
                <w:iCs w:val="false"/>
                <w:sz w:val="20"/>
                <w:szCs w:val="20"/>
              </w:rPr>
              <w:t xml:space="preserve">Nuestra propuesta es abonar [importe] € en la fecha prevista y el resto, [importe] €, el [fecha alternativa], manteniendo sin cambios el resto del calendario acordado.</w:t>
            </w:r>
          </w:p>
          <w:p>
            <w:pPr>
              <w:spacing w:after="60" w:line="252"/>
              <w:jc w:val="both"/>
            </w:pPr>
            <w:r>
              <w:rPr>
                <w:rFonts w:ascii="Calibri" w:cs="Calibri" w:eastAsia="Calibri" w:hAnsi="Calibri"/>
                <w:b w:val="false"/>
                <w:bCs w:val="false"/>
                <w:i w:val="false"/>
                <w:iCs w:val="false"/>
                <w:sz w:val="20"/>
                <w:szCs w:val="20"/>
              </w:rPr>
              <w:t xml:space="preserve">Preferimos comunicárselo con antelación antes que dejar pasar la fecha. Quedo a su disposición.</w:t>
            </w:r>
          </w:p>
        </w:tc>
      </w:tr>
    </w:tbl>
    <w:p>
      <w:pPr>
        <w:pStyle w:val="Heading1"/>
        <w:pageBreakBefore/>
        <w:pBdr>
          <w:bottom w:val="single" w:color="2E74B5" w:sz="8" w:space="6"/>
        </w:pBdr>
        <w:spacing w:after="180" w:before="240"/>
      </w:pPr>
      <w:r>
        <w:rPr>
          <w:rFonts w:ascii="Calibri" w:cs="Calibri" w:eastAsia="Calibri" w:hAnsi="Calibri"/>
          <w:b/>
          <w:bCs/>
          <w:color w:val="1F3864"/>
          <w:sz w:val="30"/>
          <w:szCs w:val="30"/>
        </w:rPr>
        <w:t xml:space="preserve">Anexo E. Registro de acuerdos y reclamaciones</w:t>
      </w:r>
    </w:p>
    <w:p>
      <w:pPr>
        <w:pStyle w:val="Heading2"/>
        <w:spacing w:after="120" w:before="260"/>
      </w:pPr>
      <w:r>
        <w:rPr>
          <w:rFonts w:ascii="Calibri" w:cs="Calibri" w:eastAsia="Calibri" w:hAnsi="Calibri"/>
          <w:b/>
          <w:bCs/>
          <w:color w:val="2E74B5"/>
          <w:sz w:val="24"/>
          <w:szCs w:val="24"/>
        </w:rPr>
        <w:t xml:space="preserve">E.1. Registro de acuerdos</w:t>
      </w:r>
    </w:p>
    <w:tbl>
      <w:tblPr>
        <w:tblW w:type="dxa" w:w="9600"/>
        <w:tblBorders>
          <w:top w:val="single" w:color="BFBFBF" w:sz="4"/>
          <w:left w:val="single" w:color="BFBFBF" w:sz="4"/>
          <w:bottom w:val="single" w:color="BFBFBF" w:sz="4"/>
          <w:right w:val="single" w:color="BFBFBF" w:sz="4"/>
          <w:insideH w:val="single" w:color="D9D9D9" w:sz="2"/>
          <w:insideV w:val="single" w:color="D9D9D9" w:sz="2"/>
        </w:tblBorders>
      </w:tblPr>
      <w:tblGrid>
        <w:gridCol w:w="1800"/>
        <w:gridCol w:w="1400"/>
        <w:gridCol w:w="1300"/>
        <w:gridCol w:w="900"/>
        <w:gridCol w:w="1700"/>
        <w:gridCol w:w="1300"/>
        <w:gridCol w:w="1200"/>
      </w:tblGrid>
      <w:tr>
        <w:trPr>
          <w:tblHeader/>
        </w:trPr>
        <w:tc>
          <w:tcPr>
            <w:tcW w:type="dxa" w:w="1800"/>
            <w:shd w:fill="1F3864"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color w:val="FFFFFF"/>
                <w:sz w:val="19"/>
                <w:szCs w:val="19"/>
              </w:rPr>
              <w:t xml:space="preserve">Proveedor</w:t>
            </w:r>
          </w:p>
        </w:tc>
        <w:tc>
          <w:tcPr>
            <w:tcW w:type="dxa" w:w="1400"/>
            <w:shd w:fill="1F3864"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color w:val="FFFFFF"/>
                <w:sz w:val="19"/>
                <w:szCs w:val="19"/>
              </w:rPr>
              <w:t xml:space="preserve">Fecha del acuerdo</w:t>
            </w:r>
          </w:p>
        </w:tc>
        <w:tc>
          <w:tcPr>
            <w:tcW w:type="dxa" w:w="1300"/>
            <w:shd w:fill="1F3864"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color w:val="FFFFFF"/>
                <w:sz w:val="19"/>
                <w:szCs w:val="19"/>
              </w:rPr>
              <w:t xml:space="preserve">Importe total</w:t>
            </w:r>
          </w:p>
        </w:tc>
        <w:tc>
          <w:tcPr>
            <w:tcW w:type="dxa" w:w="900"/>
            <w:shd w:fill="1F3864"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color w:val="FFFFFF"/>
                <w:sz w:val="19"/>
                <w:szCs w:val="19"/>
              </w:rPr>
              <w:t xml:space="preserve">Cuotas</w:t>
            </w:r>
          </w:p>
        </w:tc>
        <w:tc>
          <w:tcPr>
            <w:tcW w:type="dxa" w:w="1700"/>
            <w:shd w:fill="1F3864"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color w:val="FFFFFF"/>
                <w:sz w:val="19"/>
                <w:szCs w:val="19"/>
              </w:rPr>
              <w:t xml:space="preserve">Próximo vencimiento</w:t>
            </w:r>
          </w:p>
        </w:tc>
        <w:tc>
          <w:tcPr>
            <w:tcW w:type="dxa" w:w="1300"/>
            <w:shd w:fill="1F3864"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color w:val="FFFFFF"/>
                <w:sz w:val="19"/>
                <w:szCs w:val="19"/>
              </w:rPr>
              <w:t xml:space="preserve">Estado</w:t>
            </w:r>
          </w:p>
        </w:tc>
        <w:tc>
          <w:tcPr>
            <w:tcW w:type="dxa" w:w="1200"/>
            <w:shd w:fill="1F3864"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color w:val="FFFFFF"/>
                <w:sz w:val="19"/>
                <w:szCs w:val="19"/>
              </w:rPr>
              <w:t xml:space="preserve">Documento</w:t>
            </w:r>
          </w:p>
        </w:tc>
      </w:tr>
      <w:tr>
        <w:tc>
          <w:tcPr>
            <w:tcW w:type="dxa" w:w="1800"/>
            <w:tcMar>
              <w:top w:type="dxa" w:w="60"/>
              <w:left w:type="dxa" w:w="90"/>
              <w:bottom w:type="dxa" w:w="60"/>
              <w:right w:type="dxa" w:w="90"/>
            </w:tcMar>
            <w:vAlign w:val="center"/>
          </w:tcPr>
          <w:p>
            <w:pPr>
              <w:spacing w:after="40" w:before="40" w:line="240"/>
              <w:jc w:val="left"/>
            </w:pPr>
          </w:p>
        </w:tc>
        <w:tc>
          <w:tcPr>
            <w:tcW w:type="dxa" w:w="1400"/>
            <w:tcMar>
              <w:top w:type="dxa" w:w="60"/>
              <w:left w:type="dxa" w:w="90"/>
              <w:bottom w:type="dxa" w:w="60"/>
              <w:right w:type="dxa" w:w="90"/>
            </w:tcMar>
            <w:vAlign w:val="center"/>
          </w:tcPr>
          <w:p>
            <w:pPr>
              <w:spacing w:after="40" w:before="40" w:line="240"/>
              <w:jc w:val="left"/>
            </w:pPr>
          </w:p>
        </w:tc>
        <w:tc>
          <w:tcPr>
            <w:tcW w:type="dxa" w:w="1300"/>
            <w:tcMar>
              <w:top w:type="dxa" w:w="60"/>
              <w:left w:type="dxa" w:w="90"/>
              <w:bottom w:type="dxa" w:w="60"/>
              <w:right w:type="dxa" w:w="90"/>
            </w:tcMar>
            <w:vAlign w:val="center"/>
          </w:tcPr>
          <w:p>
            <w:pPr>
              <w:spacing w:after="40" w:before="40" w:line="240"/>
              <w:jc w:val="left"/>
            </w:pPr>
          </w:p>
        </w:tc>
        <w:tc>
          <w:tcPr>
            <w:tcW w:type="dxa" w:w="900"/>
            <w:tcMar>
              <w:top w:type="dxa" w:w="60"/>
              <w:left w:type="dxa" w:w="90"/>
              <w:bottom w:type="dxa" w:w="60"/>
              <w:right w:type="dxa" w:w="90"/>
            </w:tcMar>
            <w:vAlign w:val="center"/>
          </w:tcPr>
          <w:p>
            <w:pPr>
              <w:spacing w:after="40" w:before="40" w:line="240"/>
              <w:jc w:val="left"/>
            </w:pPr>
          </w:p>
        </w:tc>
        <w:tc>
          <w:tcPr>
            <w:tcW w:type="dxa" w:w="1700"/>
            <w:tcMar>
              <w:top w:type="dxa" w:w="60"/>
              <w:left w:type="dxa" w:w="90"/>
              <w:bottom w:type="dxa" w:w="60"/>
              <w:right w:type="dxa" w:w="90"/>
            </w:tcMar>
            <w:vAlign w:val="center"/>
          </w:tcPr>
          <w:p>
            <w:pPr>
              <w:spacing w:after="40" w:before="40" w:line="240"/>
              <w:jc w:val="left"/>
            </w:pPr>
          </w:p>
        </w:tc>
        <w:tc>
          <w:tcPr>
            <w:tcW w:type="dxa" w:w="1300"/>
            <w:tcMar>
              <w:top w:type="dxa" w:w="60"/>
              <w:left w:type="dxa" w:w="90"/>
              <w:bottom w:type="dxa" w:w="60"/>
              <w:right w:type="dxa" w:w="90"/>
            </w:tcMar>
            <w:vAlign w:val="center"/>
          </w:tcPr>
          <w:p>
            <w:pPr>
              <w:spacing w:after="40" w:before="40" w:line="240"/>
              <w:jc w:val="left"/>
            </w:pPr>
          </w:p>
        </w:tc>
        <w:tc>
          <w:tcPr>
            <w:tcW w:type="dxa" w:w="1200"/>
            <w:tcMar>
              <w:top w:type="dxa" w:w="60"/>
              <w:left w:type="dxa" w:w="90"/>
              <w:bottom w:type="dxa" w:w="60"/>
              <w:right w:type="dxa" w:w="90"/>
            </w:tcMar>
            <w:vAlign w:val="center"/>
          </w:tcPr>
          <w:p>
            <w:pPr>
              <w:spacing w:after="40" w:before="40" w:line="240"/>
              <w:jc w:val="left"/>
            </w:pPr>
          </w:p>
        </w:tc>
      </w:tr>
      <w:tr>
        <w:tc>
          <w:tcPr>
            <w:tcW w:type="dxa" w:w="1800"/>
            <w:shd w:fill="F2F2F2" w:color="auto" w:val="clear"/>
            <w:tcMar>
              <w:top w:type="dxa" w:w="60"/>
              <w:left w:type="dxa" w:w="90"/>
              <w:bottom w:type="dxa" w:w="60"/>
              <w:right w:type="dxa" w:w="90"/>
            </w:tcMar>
            <w:vAlign w:val="center"/>
          </w:tcPr>
          <w:p>
            <w:pPr>
              <w:spacing w:after="40" w:before="40" w:line="240"/>
              <w:jc w:val="left"/>
            </w:pPr>
          </w:p>
        </w:tc>
        <w:tc>
          <w:tcPr>
            <w:tcW w:type="dxa" w:w="1400"/>
            <w:shd w:fill="F2F2F2" w:color="auto" w:val="clear"/>
            <w:tcMar>
              <w:top w:type="dxa" w:w="60"/>
              <w:left w:type="dxa" w:w="90"/>
              <w:bottom w:type="dxa" w:w="60"/>
              <w:right w:type="dxa" w:w="90"/>
            </w:tcMar>
            <w:vAlign w:val="center"/>
          </w:tcPr>
          <w:p>
            <w:pPr>
              <w:spacing w:after="40" w:before="40" w:line="240"/>
              <w:jc w:val="left"/>
            </w:pPr>
          </w:p>
        </w:tc>
        <w:tc>
          <w:tcPr>
            <w:tcW w:type="dxa" w:w="1300"/>
            <w:shd w:fill="F2F2F2" w:color="auto" w:val="clear"/>
            <w:tcMar>
              <w:top w:type="dxa" w:w="60"/>
              <w:left w:type="dxa" w:w="90"/>
              <w:bottom w:type="dxa" w:w="60"/>
              <w:right w:type="dxa" w:w="90"/>
            </w:tcMar>
            <w:vAlign w:val="center"/>
          </w:tcPr>
          <w:p>
            <w:pPr>
              <w:spacing w:after="40" w:before="40" w:line="240"/>
              <w:jc w:val="left"/>
            </w:pPr>
          </w:p>
        </w:tc>
        <w:tc>
          <w:tcPr>
            <w:tcW w:type="dxa" w:w="900"/>
            <w:shd w:fill="F2F2F2" w:color="auto" w:val="clear"/>
            <w:tcMar>
              <w:top w:type="dxa" w:w="60"/>
              <w:left w:type="dxa" w:w="90"/>
              <w:bottom w:type="dxa" w:w="60"/>
              <w:right w:type="dxa" w:w="90"/>
            </w:tcMar>
            <w:vAlign w:val="center"/>
          </w:tcPr>
          <w:p>
            <w:pPr>
              <w:spacing w:after="40" w:before="40" w:line="240"/>
              <w:jc w:val="left"/>
            </w:pPr>
          </w:p>
        </w:tc>
        <w:tc>
          <w:tcPr>
            <w:tcW w:type="dxa" w:w="1700"/>
            <w:shd w:fill="F2F2F2" w:color="auto" w:val="clear"/>
            <w:tcMar>
              <w:top w:type="dxa" w:w="60"/>
              <w:left w:type="dxa" w:w="90"/>
              <w:bottom w:type="dxa" w:w="60"/>
              <w:right w:type="dxa" w:w="90"/>
            </w:tcMar>
            <w:vAlign w:val="center"/>
          </w:tcPr>
          <w:p>
            <w:pPr>
              <w:spacing w:after="40" w:before="40" w:line="240"/>
              <w:jc w:val="left"/>
            </w:pPr>
          </w:p>
        </w:tc>
        <w:tc>
          <w:tcPr>
            <w:tcW w:type="dxa" w:w="1300"/>
            <w:shd w:fill="F2F2F2" w:color="auto" w:val="clear"/>
            <w:tcMar>
              <w:top w:type="dxa" w:w="60"/>
              <w:left w:type="dxa" w:w="90"/>
              <w:bottom w:type="dxa" w:w="60"/>
              <w:right w:type="dxa" w:w="90"/>
            </w:tcMar>
            <w:vAlign w:val="center"/>
          </w:tcPr>
          <w:p>
            <w:pPr>
              <w:spacing w:after="40" w:before="40" w:line="240"/>
              <w:jc w:val="left"/>
            </w:pPr>
          </w:p>
        </w:tc>
        <w:tc>
          <w:tcPr>
            <w:tcW w:type="dxa" w:w="1200"/>
            <w:shd w:fill="F2F2F2" w:color="auto" w:val="clear"/>
            <w:tcMar>
              <w:top w:type="dxa" w:w="60"/>
              <w:left w:type="dxa" w:w="90"/>
              <w:bottom w:type="dxa" w:w="60"/>
              <w:right w:type="dxa" w:w="90"/>
            </w:tcMar>
            <w:vAlign w:val="center"/>
          </w:tcPr>
          <w:p>
            <w:pPr>
              <w:spacing w:after="40" w:before="40" w:line="240"/>
              <w:jc w:val="left"/>
            </w:pPr>
          </w:p>
        </w:tc>
      </w:tr>
      <w:tr>
        <w:tc>
          <w:tcPr>
            <w:tcW w:type="dxa" w:w="1800"/>
            <w:tcMar>
              <w:top w:type="dxa" w:w="60"/>
              <w:left w:type="dxa" w:w="90"/>
              <w:bottom w:type="dxa" w:w="60"/>
              <w:right w:type="dxa" w:w="90"/>
            </w:tcMar>
            <w:vAlign w:val="center"/>
          </w:tcPr>
          <w:p>
            <w:pPr>
              <w:spacing w:after="40" w:before="40" w:line="240"/>
              <w:jc w:val="left"/>
            </w:pPr>
          </w:p>
        </w:tc>
        <w:tc>
          <w:tcPr>
            <w:tcW w:type="dxa" w:w="1400"/>
            <w:tcMar>
              <w:top w:type="dxa" w:w="60"/>
              <w:left w:type="dxa" w:w="90"/>
              <w:bottom w:type="dxa" w:w="60"/>
              <w:right w:type="dxa" w:w="90"/>
            </w:tcMar>
            <w:vAlign w:val="center"/>
          </w:tcPr>
          <w:p>
            <w:pPr>
              <w:spacing w:after="40" w:before="40" w:line="240"/>
              <w:jc w:val="left"/>
            </w:pPr>
          </w:p>
        </w:tc>
        <w:tc>
          <w:tcPr>
            <w:tcW w:type="dxa" w:w="1300"/>
            <w:tcMar>
              <w:top w:type="dxa" w:w="60"/>
              <w:left w:type="dxa" w:w="90"/>
              <w:bottom w:type="dxa" w:w="60"/>
              <w:right w:type="dxa" w:w="90"/>
            </w:tcMar>
            <w:vAlign w:val="center"/>
          </w:tcPr>
          <w:p>
            <w:pPr>
              <w:spacing w:after="40" w:before="40" w:line="240"/>
              <w:jc w:val="left"/>
            </w:pPr>
          </w:p>
        </w:tc>
        <w:tc>
          <w:tcPr>
            <w:tcW w:type="dxa" w:w="900"/>
            <w:tcMar>
              <w:top w:type="dxa" w:w="60"/>
              <w:left w:type="dxa" w:w="90"/>
              <w:bottom w:type="dxa" w:w="60"/>
              <w:right w:type="dxa" w:w="90"/>
            </w:tcMar>
            <w:vAlign w:val="center"/>
          </w:tcPr>
          <w:p>
            <w:pPr>
              <w:spacing w:after="40" w:before="40" w:line="240"/>
              <w:jc w:val="left"/>
            </w:pPr>
          </w:p>
        </w:tc>
        <w:tc>
          <w:tcPr>
            <w:tcW w:type="dxa" w:w="1700"/>
            <w:tcMar>
              <w:top w:type="dxa" w:w="60"/>
              <w:left w:type="dxa" w:w="90"/>
              <w:bottom w:type="dxa" w:w="60"/>
              <w:right w:type="dxa" w:w="90"/>
            </w:tcMar>
            <w:vAlign w:val="center"/>
          </w:tcPr>
          <w:p>
            <w:pPr>
              <w:spacing w:after="40" w:before="40" w:line="240"/>
              <w:jc w:val="left"/>
            </w:pPr>
          </w:p>
        </w:tc>
        <w:tc>
          <w:tcPr>
            <w:tcW w:type="dxa" w:w="1300"/>
            <w:tcMar>
              <w:top w:type="dxa" w:w="60"/>
              <w:left w:type="dxa" w:w="90"/>
              <w:bottom w:type="dxa" w:w="60"/>
              <w:right w:type="dxa" w:w="90"/>
            </w:tcMar>
            <w:vAlign w:val="center"/>
          </w:tcPr>
          <w:p>
            <w:pPr>
              <w:spacing w:after="40" w:before="40" w:line="240"/>
              <w:jc w:val="left"/>
            </w:pPr>
          </w:p>
        </w:tc>
        <w:tc>
          <w:tcPr>
            <w:tcW w:type="dxa" w:w="1200"/>
            <w:tcMar>
              <w:top w:type="dxa" w:w="60"/>
              <w:left w:type="dxa" w:w="90"/>
              <w:bottom w:type="dxa" w:w="60"/>
              <w:right w:type="dxa" w:w="90"/>
            </w:tcMar>
            <w:vAlign w:val="center"/>
          </w:tcPr>
          <w:p>
            <w:pPr>
              <w:spacing w:after="40" w:before="40" w:line="240"/>
              <w:jc w:val="left"/>
            </w:pPr>
          </w:p>
        </w:tc>
      </w:tr>
      <w:tr>
        <w:tc>
          <w:tcPr>
            <w:tcW w:type="dxa" w:w="1800"/>
            <w:shd w:fill="F2F2F2" w:color="auto" w:val="clear"/>
            <w:tcMar>
              <w:top w:type="dxa" w:w="60"/>
              <w:left w:type="dxa" w:w="90"/>
              <w:bottom w:type="dxa" w:w="60"/>
              <w:right w:type="dxa" w:w="90"/>
            </w:tcMar>
            <w:vAlign w:val="center"/>
          </w:tcPr>
          <w:p>
            <w:pPr>
              <w:spacing w:after="40" w:before="40" w:line="240"/>
              <w:jc w:val="left"/>
            </w:pPr>
          </w:p>
        </w:tc>
        <w:tc>
          <w:tcPr>
            <w:tcW w:type="dxa" w:w="1400"/>
            <w:shd w:fill="F2F2F2" w:color="auto" w:val="clear"/>
            <w:tcMar>
              <w:top w:type="dxa" w:w="60"/>
              <w:left w:type="dxa" w:w="90"/>
              <w:bottom w:type="dxa" w:w="60"/>
              <w:right w:type="dxa" w:w="90"/>
            </w:tcMar>
            <w:vAlign w:val="center"/>
          </w:tcPr>
          <w:p>
            <w:pPr>
              <w:spacing w:after="40" w:before="40" w:line="240"/>
              <w:jc w:val="left"/>
            </w:pPr>
          </w:p>
        </w:tc>
        <w:tc>
          <w:tcPr>
            <w:tcW w:type="dxa" w:w="1300"/>
            <w:shd w:fill="F2F2F2" w:color="auto" w:val="clear"/>
            <w:tcMar>
              <w:top w:type="dxa" w:w="60"/>
              <w:left w:type="dxa" w:w="90"/>
              <w:bottom w:type="dxa" w:w="60"/>
              <w:right w:type="dxa" w:w="90"/>
            </w:tcMar>
            <w:vAlign w:val="center"/>
          </w:tcPr>
          <w:p>
            <w:pPr>
              <w:spacing w:after="40" w:before="40" w:line="240"/>
              <w:jc w:val="left"/>
            </w:pPr>
          </w:p>
        </w:tc>
        <w:tc>
          <w:tcPr>
            <w:tcW w:type="dxa" w:w="900"/>
            <w:shd w:fill="F2F2F2" w:color="auto" w:val="clear"/>
            <w:tcMar>
              <w:top w:type="dxa" w:w="60"/>
              <w:left w:type="dxa" w:w="90"/>
              <w:bottom w:type="dxa" w:w="60"/>
              <w:right w:type="dxa" w:w="90"/>
            </w:tcMar>
            <w:vAlign w:val="center"/>
          </w:tcPr>
          <w:p>
            <w:pPr>
              <w:spacing w:after="40" w:before="40" w:line="240"/>
              <w:jc w:val="left"/>
            </w:pPr>
          </w:p>
        </w:tc>
        <w:tc>
          <w:tcPr>
            <w:tcW w:type="dxa" w:w="1700"/>
            <w:shd w:fill="F2F2F2" w:color="auto" w:val="clear"/>
            <w:tcMar>
              <w:top w:type="dxa" w:w="60"/>
              <w:left w:type="dxa" w:w="90"/>
              <w:bottom w:type="dxa" w:w="60"/>
              <w:right w:type="dxa" w:w="90"/>
            </w:tcMar>
            <w:vAlign w:val="center"/>
          </w:tcPr>
          <w:p>
            <w:pPr>
              <w:spacing w:after="40" w:before="40" w:line="240"/>
              <w:jc w:val="left"/>
            </w:pPr>
          </w:p>
        </w:tc>
        <w:tc>
          <w:tcPr>
            <w:tcW w:type="dxa" w:w="1300"/>
            <w:shd w:fill="F2F2F2" w:color="auto" w:val="clear"/>
            <w:tcMar>
              <w:top w:type="dxa" w:w="60"/>
              <w:left w:type="dxa" w:w="90"/>
              <w:bottom w:type="dxa" w:w="60"/>
              <w:right w:type="dxa" w:w="90"/>
            </w:tcMar>
            <w:vAlign w:val="center"/>
          </w:tcPr>
          <w:p>
            <w:pPr>
              <w:spacing w:after="40" w:before="40" w:line="240"/>
              <w:jc w:val="left"/>
            </w:pPr>
          </w:p>
        </w:tc>
        <w:tc>
          <w:tcPr>
            <w:tcW w:type="dxa" w:w="1200"/>
            <w:shd w:fill="F2F2F2" w:color="auto" w:val="clear"/>
            <w:tcMar>
              <w:top w:type="dxa" w:w="60"/>
              <w:left w:type="dxa" w:w="90"/>
              <w:bottom w:type="dxa" w:w="60"/>
              <w:right w:type="dxa" w:w="90"/>
            </w:tcMar>
            <w:vAlign w:val="center"/>
          </w:tcPr>
          <w:p>
            <w:pPr>
              <w:spacing w:after="40" w:before="40" w:line="240"/>
              <w:jc w:val="left"/>
            </w:pPr>
          </w:p>
        </w:tc>
      </w:tr>
      <w:tr>
        <w:tc>
          <w:tcPr>
            <w:tcW w:type="dxa" w:w="1800"/>
            <w:tcMar>
              <w:top w:type="dxa" w:w="60"/>
              <w:left w:type="dxa" w:w="90"/>
              <w:bottom w:type="dxa" w:w="60"/>
              <w:right w:type="dxa" w:w="90"/>
            </w:tcMar>
            <w:vAlign w:val="center"/>
          </w:tcPr>
          <w:p>
            <w:pPr>
              <w:spacing w:after="40" w:before="40" w:line="240"/>
              <w:jc w:val="left"/>
            </w:pPr>
          </w:p>
        </w:tc>
        <w:tc>
          <w:tcPr>
            <w:tcW w:type="dxa" w:w="1400"/>
            <w:tcMar>
              <w:top w:type="dxa" w:w="60"/>
              <w:left w:type="dxa" w:w="90"/>
              <w:bottom w:type="dxa" w:w="60"/>
              <w:right w:type="dxa" w:w="90"/>
            </w:tcMar>
            <w:vAlign w:val="center"/>
          </w:tcPr>
          <w:p>
            <w:pPr>
              <w:spacing w:after="40" w:before="40" w:line="240"/>
              <w:jc w:val="left"/>
            </w:pPr>
          </w:p>
        </w:tc>
        <w:tc>
          <w:tcPr>
            <w:tcW w:type="dxa" w:w="1300"/>
            <w:tcMar>
              <w:top w:type="dxa" w:w="60"/>
              <w:left w:type="dxa" w:w="90"/>
              <w:bottom w:type="dxa" w:w="60"/>
              <w:right w:type="dxa" w:w="90"/>
            </w:tcMar>
            <w:vAlign w:val="center"/>
          </w:tcPr>
          <w:p>
            <w:pPr>
              <w:spacing w:after="40" w:before="40" w:line="240"/>
              <w:jc w:val="left"/>
            </w:pPr>
          </w:p>
        </w:tc>
        <w:tc>
          <w:tcPr>
            <w:tcW w:type="dxa" w:w="900"/>
            <w:tcMar>
              <w:top w:type="dxa" w:w="60"/>
              <w:left w:type="dxa" w:w="90"/>
              <w:bottom w:type="dxa" w:w="60"/>
              <w:right w:type="dxa" w:w="90"/>
            </w:tcMar>
            <w:vAlign w:val="center"/>
          </w:tcPr>
          <w:p>
            <w:pPr>
              <w:spacing w:after="40" w:before="40" w:line="240"/>
              <w:jc w:val="left"/>
            </w:pPr>
          </w:p>
        </w:tc>
        <w:tc>
          <w:tcPr>
            <w:tcW w:type="dxa" w:w="1700"/>
            <w:tcMar>
              <w:top w:type="dxa" w:w="60"/>
              <w:left w:type="dxa" w:w="90"/>
              <w:bottom w:type="dxa" w:w="60"/>
              <w:right w:type="dxa" w:w="90"/>
            </w:tcMar>
            <w:vAlign w:val="center"/>
          </w:tcPr>
          <w:p>
            <w:pPr>
              <w:spacing w:after="40" w:before="40" w:line="240"/>
              <w:jc w:val="left"/>
            </w:pPr>
          </w:p>
        </w:tc>
        <w:tc>
          <w:tcPr>
            <w:tcW w:type="dxa" w:w="1300"/>
            <w:tcMar>
              <w:top w:type="dxa" w:w="60"/>
              <w:left w:type="dxa" w:w="90"/>
              <w:bottom w:type="dxa" w:w="60"/>
              <w:right w:type="dxa" w:w="90"/>
            </w:tcMar>
            <w:vAlign w:val="center"/>
          </w:tcPr>
          <w:p>
            <w:pPr>
              <w:spacing w:after="40" w:before="40" w:line="240"/>
              <w:jc w:val="left"/>
            </w:pPr>
          </w:p>
        </w:tc>
        <w:tc>
          <w:tcPr>
            <w:tcW w:type="dxa" w:w="1200"/>
            <w:tcMar>
              <w:top w:type="dxa" w:w="60"/>
              <w:left w:type="dxa" w:w="90"/>
              <w:bottom w:type="dxa" w:w="60"/>
              <w:right w:type="dxa" w:w="90"/>
            </w:tcMar>
            <w:vAlign w:val="center"/>
          </w:tcPr>
          <w:p>
            <w:pPr>
              <w:spacing w:after="40" w:before="40" w:line="240"/>
              <w:jc w:val="left"/>
            </w:pPr>
          </w:p>
        </w:tc>
      </w:tr>
      <w:tr>
        <w:tc>
          <w:tcPr>
            <w:tcW w:type="dxa" w:w="1800"/>
            <w:shd w:fill="F2F2F2" w:color="auto" w:val="clear"/>
            <w:tcMar>
              <w:top w:type="dxa" w:w="60"/>
              <w:left w:type="dxa" w:w="90"/>
              <w:bottom w:type="dxa" w:w="60"/>
              <w:right w:type="dxa" w:w="90"/>
            </w:tcMar>
            <w:vAlign w:val="center"/>
          </w:tcPr>
          <w:p>
            <w:pPr>
              <w:spacing w:after="40" w:before="40" w:line="240"/>
              <w:jc w:val="left"/>
            </w:pPr>
          </w:p>
        </w:tc>
        <w:tc>
          <w:tcPr>
            <w:tcW w:type="dxa" w:w="1400"/>
            <w:shd w:fill="F2F2F2" w:color="auto" w:val="clear"/>
            <w:tcMar>
              <w:top w:type="dxa" w:w="60"/>
              <w:left w:type="dxa" w:w="90"/>
              <w:bottom w:type="dxa" w:w="60"/>
              <w:right w:type="dxa" w:w="90"/>
            </w:tcMar>
            <w:vAlign w:val="center"/>
          </w:tcPr>
          <w:p>
            <w:pPr>
              <w:spacing w:after="40" w:before="40" w:line="240"/>
              <w:jc w:val="left"/>
            </w:pPr>
          </w:p>
        </w:tc>
        <w:tc>
          <w:tcPr>
            <w:tcW w:type="dxa" w:w="1300"/>
            <w:shd w:fill="F2F2F2" w:color="auto" w:val="clear"/>
            <w:tcMar>
              <w:top w:type="dxa" w:w="60"/>
              <w:left w:type="dxa" w:w="90"/>
              <w:bottom w:type="dxa" w:w="60"/>
              <w:right w:type="dxa" w:w="90"/>
            </w:tcMar>
            <w:vAlign w:val="center"/>
          </w:tcPr>
          <w:p>
            <w:pPr>
              <w:spacing w:after="40" w:before="40" w:line="240"/>
              <w:jc w:val="left"/>
            </w:pPr>
          </w:p>
        </w:tc>
        <w:tc>
          <w:tcPr>
            <w:tcW w:type="dxa" w:w="900"/>
            <w:shd w:fill="F2F2F2" w:color="auto" w:val="clear"/>
            <w:tcMar>
              <w:top w:type="dxa" w:w="60"/>
              <w:left w:type="dxa" w:w="90"/>
              <w:bottom w:type="dxa" w:w="60"/>
              <w:right w:type="dxa" w:w="90"/>
            </w:tcMar>
            <w:vAlign w:val="center"/>
          </w:tcPr>
          <w:p>
            <w:pPr>
              <w:spacing w:after="40" w:before="40" w:line="240"/>
              <w:jc w:val="left"/>
            </w:pPr>
          </w:p>
        </w:tc>
        <w:tc>
          <w:tcPr>
            <w:tcW w:type="dxa" w:w="1700"/>
            <w:shd w:fill="F2F2F2" w:color="auto" w:val="clear"/>
            <w:tcMar>
              <w:top w:type="dxa" w:w="60"/>
              <w:left w:type="dxa" w:w="90"/>
              <w:bottom w:type="dxa" w:w="60"/>
              <w:right w:type="dxa" w:w="90"/>
            </w:tcMar>
            <w:vAlign w:val="center"/>
          </w:tcPr>
          <w:p>
            <w:pPr>
              <w:spacing w:after="40" w:before="40" w:line="240"/>
              <w:jc w:val="left"/>
            </w:pPr>
          </w:p>
        </w:tc>
        <w:tc>
          <w:tcPr>
            <w:tcW w:type="dxa" w:w="1300"/>
            <w:shd w:fill="F2F2F2" w:color="auto" w:val="clear"/>
            <w:tcMar>
              <w:top w:type="dxa" w:w="60"/>
              <w:left w:type="dxa" w:w="90"/>
              <w:bottom w:type="dxa" w:w="60"/>
              <w:right w:type="dxa" w:w="90"/>
            </w:tcMar>
            <w:vAlign w:val="center"/>
          </w:tcPr>
          <w:p>
            <w:pPr>
              <w:spacing w:after="40" w:before="40" w:line="240"/>
              <w:jc w:val="left"/>
            </w:pPr>
          </w:p>
        </w:tc>
        <w:tc>
          <w:tcPr>
            <w:tcW w:type="dxa" w:w="1200"/>
            <w:shd w:fill="F2F2F2" w:color="auto" w:val="clear"/>
            <w:tcMar>
              <w:top w:type="dxa" w:w="60"/>
              <w:left w:type="dxa" w:w="90"/>
              <w:bottom w:type="dxa" w:w="60"/>
              <w:right w:type="dxa" w:w="90"/>
            </w:tcMar>
            <w:vAlign w:val="center"/>
          </w:tcPr>
          <w:p>
            <w:pPr>
              <w:spacing w:after="40" w:before="40" w:line="240"/>
              <w:jc w:val="left"/>
            </w:pPr>
          </w:p>
        </w:tc>
      </w:tr>
    </w:tbl>
    <w:p>
      <w:pPr>
        <w:spacing w:after="120"/>
      </w:pPr>
    </w:p>
    <w:p>
      <w:pPr>
        <w:pStyle w:val="Heading2"/>
        <w:spacing w:after="120" w:before="260"/>
      </w:pPr>
      <w:r>
        <w:rPr>
          <w:rFonts w:ascii="Calibri" w:cs="Calibri" w:eastAsia="Calibri" w:hAnsi="Calibri"/>
          <w:b/>
          <w:bCs/>
          <w:color w:val="2E74B5"/>
          <w:sz w:val="24"/>
          <w:szCs w:val="24"/>
        </w:rPr>
        <w:t xml:space="preserve">E.2. Registro de reclamaciones recibidas</w:t>
      </w:r>
    </w:p>
    <w:p>
      <w:pPr>
        <w:spacing w:after="120" w:line="264"/>
        <w:jc w:val="both"/>
      </w:pPr>
      <w:r>
        <w:rPr>
          <w:rFonts w:ascii="Calibri" w:cs="Calibri" w:eastAsia="Calibri" w:hAnsi="Calibri"/>
          <w:b w:val="false"/>
          <w:bCs w:val="false"/>
          <w:i w:val="false"/>
          <w:iCs w:val="false"/>
          <w:sz w:val="21"/>
          <w:szCs w:val="21"/>
        </w:rPr>
        <w:t xml:space="preserve">Alimenta el indicador clave del plan: cuántas reclamaciones llegan a Dirección.</w:t>
      </w:r>
    </w:p>
    <w:tbl>
      <w:tblPr>
        <w:tblW w:type="dxa" w:w="9600"/>
        <w:tblBorders>
          <w:top w:val="single" w:color="BFBFBF" w:sz="4"/>
          <w:left w:val="single" w:color="BFBFBF" w:sz="4"/>
          <w:bottom w:val="single" w:color="BFBFBF" w:sz="4"/>
          <w:right w:val="single" w:color="BFBFBF" w:sz="4"/>
          <w:insideH w:val="single" w:color="D9D9D9" w:sz="2"/>
          <w:insideV w:val="single" w:color="D9D9D9" w:sz="2"/>
        </w:tblBorders>
      </w:tblPr>
      <w:tblGrid>
        <w:gridCol w:w="1100"/>
        <w:gridCol w:w="1600"/>
        <w:gridCol w:w="1000"/>
        <w:gridCol w:w="1300"/>
        <w:gridCol w:w="1300"/>
        <w:gridCol w:w="900"/>
        <w:gridCol w:w="1400"/>
        <w:gridCol w:w="1000"/>
      </w:tblGrid>
      <w:tr>
        <w:trPr>
          <w:tblHeader/>
        </w:trPr>
        <w:tc>
          <w:tcPr>
            <w:tcW w:type="dxa" w:w="1100"/>
            <w:shd w:fill="1F3864"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color w:val="FFFFFF"/>
                <w:sz w:val="19"/>
                <w:szCs w:val="19"/>
              </w:rPr>
              <w:t xml:space="preserve">Fecha</w:t>
            </w:r>
          </w:p>
        </w:tc>
        <w:tc>
          <w:tcPr>
            <w:tcW w:type="dxa" w:w="1600"/>
            <w:shd w:fill="1F3864"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color w:val="FFFFFF"/>
                <w:sz w:val="19"/>
                <w:szCs w:val="19"/>
              </w:rPr>
              <w:t xml:space="preserve">Proveedor</w:t>
            </w:r>
          </w:p>
        </w:tc>
        <w:tc>
          <w:tcPr>
            <w:tcW w:type="dxa" w:w="1000"/>
            <w:shd w:fill="1F3864"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color w:val="FFFFFF"/>
                <w:sz w:val="19"/>
                <w:szCs w:val="19"/>
              </w:rPr>
              <w:t xml:space="preserve">Canal</w:t>
            </w:r>
          </w:p>
        </w:tc>
        <w:tc>
          <w:tcPr>
            <w:tcW w:type="dxa" w:w="1300"/>
            <w:shd w:fill="1F3864"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color w:val="FFFFFF"/>
                <w:sz w:val="19"/>
                <w:szCs w:val="19"/>
              </w:rPr>
              <w:t xml:space="preserve">Importe reclamado</w:t>
            </w:r>
          </w:p>
        </w:tc>
        <w:tc>
          <w:tcPr>
            <w:tcW w:type="dxa" w:w="1300"/>
            <w:shd w:fill="1F3864"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color w:val="FFFFFF"/>
                <w:sz w:val="19"/>
                <w:szCs w:val="19"/>
              </w:rPr>
              <w:t xml:space="preserve">Recibida por</w:t>
            </w:r>
          </w:p>
        </w:tc>
        <w:tc>
          <w:tcPr>
            <w:tcW w:type="dxa" w:w="900"/>
            <w:shd w:fill="1F3864"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color w:val="FFFFFF"/>
                <w:sz w:val="19"/>
                <w:szCs w:val="19"/>
              </w:rPr>
              <w:t xml:space="preserve">Tono</w:t>
            </w:r>
          </w:p>
        </w:tc>
        <w:tc>
          <w:tcPr>
            <w:tcW w:type="dxa" w:w="1400"/>
            <w:shd w:fill="1F3864"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color w:val="FFFFFF"/>
                <w:sz w:val="19"/>
                <w:szCs w:val="19"/>
              </w:rPr>
              <w:t xml:space="preserve">Respuesta dada</w:t>
            </w:r>
          </w:p>
        </w:tc>
        <w:tc>
          <w:tcPr>
            <w:tcW w:type="dxa" w:w="1000"/>
            <w:shd w:fill="1F3864"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color w:val="FFFFFF"/>
                <w:sz w:val="19"/>
                <w:szCs w:val="19"/>
              </w:rPr>
              <w:t xml:space="preserve">Escalada</w:t>
            </w:r>
          </w:p>
        </w:tc>
      </w:tr>
      <w:tr>
        <w:tc>
          <w:tcPr>
            <w:tcW w:type="dxa" w:w="1100"/>
            <w:tcMar>
              <w:top w:type="dxa" w:w="60"/>
              <w:left w:type="dxa" w:w="90"/>
              <w:bottom w:type="dxa" w:w="60"/>
              <w:right w:type="dxa" w:w="90"/>
            </w:tcMar>
            <w:vAlign w:val="center"/>
          </w:tcPr>
          <w:p>
            <w:pPr>
              <w:spacing w:after="40" w:before="40" w:line="240"/>
              <w:jc w:val="left"/>
            </w:pPr>
          </w:p>
        </w:tc>
        <w:tc>
          <w:tcPr>
            <w:tcW w:type="dxa" w:w="1600"/>
            <w:tcMar>
              <w:top w:type="dxa" w:w="60"/>
              <w:left w:type="dxa" w:w="90"/>
              <w:bottom w:type="dxa" w:w="60"/>
              <w:right w:type="dxa" w:w="90"/>
            </w:tcMar>
            <w:vAlign w:val="center"/>
          </w:tcPr>
          <w:p>
            <w:pPr>
              <w:spacing w:after="40" w:before="40" w:line="240"/>
              <w:jc w:val="left"/>
            </w:pPr>
          </w:p>
        </w:tc>
        <w:tc>
          <w:tcPr>
            <w:tcW w:type="dxa" w:w="1000"/>
            <w:tcMar>
              <w:top w:type="dxa" w:w="60"/>
              <w:left w:type="dxa" w:w="90"/>
              <w:bottom w:type="dxa" w:w="60"/>
              <w:right w:type="dxa" w:w="90"/>
            </w:tcMar>
            <w:vAlign w:val="center"/>
          </w:tcPr>
          <w:p>
            <w:pPr>
              <w:spacing w:after="40" w:before="40" w:line="240"/>
              <w:jc w:val="left"/>
            </w:pPr>
          </w:p>
        </w:tc>
        <w:tc>
          <w:tcPr>
            <w:tcW w:type="dxa" w:w="1300"/>
            <w:tcMar>
              <w:top w:type="dxa" w:w="60"/>
              <w:left w:type="dxa" w:w="90"/>
              <w:bottom w:type="dxa" w:w="60"/>
              <w:right w:type="dxa" w:w="90"/>
            </w:tcMar>
            <w:vAlign w:val="center"/>
          </w:tcPr>
          <w:p>
            <w:pPr>
              <w:spacing w:after="40" w:before="40" w:line="240"/>
              <w:jc w:val="left"/>
            </w:pPr>
          </w:p>
        </w:tc>
        <w:tc>
          <w:tcPr>
            <w:tcW w:type="dxa" w:w="1300"/>
            <w:tcMar>
              <w:top w:type="dxa" w:w="60"/>
              <w:left w:type="dxa" w:w="90"/>
              <w:bottom w:type="dxa" w:w="60"/>
              <w:right w:type="dxa" w:w="90"/>
            </w:tcMar>
            <w:vAlign w:val="center"/>
          </w:tcPr>
          <w:p>
            <w:pPr>
              <w:spacing w:after="40" w:before="40" w:line="240"/>
              <w:jc w:val="left"/>
            </w:pPr>
          </w:p>
        </w:tc>
        <w:tc>
          <w:tcPr>
            <w:tcW w:type="dxa" w:w="900"/>
            <w:tcMar>
              <w:top w:type="dxa" w:w="60"/>
              <w:left w:type="dxa" w:w="90"/>
              <w:bottom w:type="dxa" w:w="60"/>
              <w:right w:type="dxa" w:w="90"/>
            </w:tcMar>
            <w:vAlign w:val="center"/>
          </w:tcPr>
          <w:p>
            <w:pPr>
              <w:spacing w:after="40" w:before="40" w:line="240"/>
              <w:jc w:val="left"/>
            </w:pPr>
          </w:p>
        </w:tc>
        <w:tc>
          <w:tcPr>
            <w:tcW w:type="dxa" w:w="1400"/>
            <w:tcMar>
              <w:top w:type="dxa" w:w="60"/>
              <w:left w:type="dxa" w:w="90"/>
              <w:bottom w:type="dxa" w:w="60"/>
              <w:right w:type="dxa" w:w="90"/>
            </w:tcMar>
            <w:vAlign w:val="center"/>
          </w:tcPr>
          <w:p>
            <w:pPr>
              <w:spacing w:after="40" w:before="40" w:line="240"/>
              <w:jc w:val="left"/>
            </w:pPr>
          </w:p>
        </w:tc>
        <w:tc>
          <w:tcPr>
            <w:tcW w:type="dxa" w:w="1000"/>
            <w:tcMar>
              <w:top w:type="dxa" w:w="60"/>
              <w:left w:type="dxa" w:w="90"/>
              <w:bottom w:type="dxa" w:w="60"/>
              <w:right w:type="dxa" w:w="90"/>
            </w:tcMar>
            <w:vAlign w:val="center"/>
          </w:tcPr>
          <w:p>
            <w:pPr>
              <w:spacing w:after="40" w:before="40" w:line="240"/>
              <w:jc w:val="left"/>
            </w:pPr>
          </w:p>
        </w:tc>
      </w:tr>
      <w:tr>
        <w:tc>
          <w:tcPr>
            <w:tcW w:type="dxa" w:w="1100"/>
            <w:shd w:fill="F2F2F2" w:color="auto" w:val="clear"/>
            <w:tcMar>
              <w:top w:type="dxa" w:w="60"/>
              <w:left w:type="dxa" w:w="90"/>
              <w:bottom w:type="dxa" w:w="60"/>
              <w:right w:type="dxa" w:w="90"/>
            </w:tcMar>
            <w:vAlign w:val="center"/>
          </w:tcPr>
          <w:p>
            <w:pPr>
              <w:spacing w:after="40" w:before="40" w:line="240"/>
              <w:jc w:val="left"/>
            </w:pPr>
          </w:p>
        </w:tc>
        <w:tc>
          <w:tcPr>
            <w:tcW w:type="dxa" w:w="1600"/>
            <w:shd w:fill="F2F2F2" w:color="auto" w:val="clear"/>
            <w:tcMar>
              <w:top w:type="dxa" w:w="60"/>
              <w:left w:type="dxa" w:w="90"/>
              <w:bottom w:type="dxa" w:w="60"/>
              <w:right w:type="dxa" w:w="90"/>
            </w:tcMar>
            <w:vAlign w:val="center"/>
          </w:tcPr>
          <w:p>
            <w:pPr>
              <w:spacing w:after="40" w:before="40" w:line="240"/>
              <w:jc w:val="left"/>
            </w:pPr>
          </w:p>
        </w:tc>
        <w:tc>
          <w:tcPr>
            <w:tcW w:type="dxa" w:w="1000"/>
            <w:shd w:fill="F2F2F2" w:color="auto" w:val="clear"/>
            <w:tcMar>
              <w:top w:type="dxa" w:w="60"/>
              <w:left w:type="dxa" w:w="90"/>
              <w:bottom w:type="dxa" w:w="60"/>
              <w:right w:type="dxa" w:w="90"/>
            </w:tcMar>
            <w:vAlign w:val="center"/>
          </w:tcPr>
          <w:p>
            <w:pPr>
              <w:spacing w:after="40" w:before="40" w:line="240"/>
              <w:jc w:val="left"/>
            </w:pPr>
          </w:p>
        </w:tc>
        <w:tc>
          <w:tcPr>
            <w:tcW w:type="dxa" w:w="1300"/>
            <w:shd w:fill="F2F2F2" w:color="auto" w:val="clear"/>
            <w:tcMar>
              <w:top w:type="dxa" w:w="60"/>
              <w:left w:type="dxa" w:w="90"/>
              <w:bottom w:type="dxa" w:w="60"/>
              <w:right w:type="dxa" w:w="90"/>
            </w:tcMar>
            <w:vAlign w:val="center"/>
          </w:tcPr>
          <w:p>
            <w:pPr>
              <w:spacing w:after="40" w:before="40" w:line="240"/>
              <w:jc w:val="left"/>
            </w:pPr>
          </w:p>
        </w:tc>
        <w:tc>
          <w:tcPr>
            <w:tcW w:type="dxa" w:w="1300"/>
            <w:shd w:fill="F2F2F2" w:color="auto" w:val="clear"/>
            <w:tcMar>
              <w:top w:type="dxa" w:w="60"/>
              <w:left w:type="dxa" w:w="90"/>
              <w:bottom w:type="dxa" w:w="60"/>
              <w:right w:type="dxa" w:w="90"/>
            </w:tcMar>
            <w:vAlign w:val="center"/>
          </w:tcPr>
          <w:p>
            <w:pPr>
              <w:spacing w:after="40" w:before="40" w:line="240"/>
              <w:jc w:val="left"/>
            </w:pPr>
          </w:p>
        </w:tc>
        <w:tc>
          <w:tcPr>
            <w:tcW w:type="dxa" w:w="900"/>
            <w:shd w:fill="F2F2F2" w:color="auto" w:val="clear"/>
            <w:tcMar>
              <w:top w:type="dxa" w:w="60"/>
              <w:left w:type="dxa" w:w="90"/>
              <w:bottom w:type="dxa" w:w="60"/>
              <w:right w:type="dxa" w:w="90"/>
            </w:tcMar>
            <w:vAlign w:val="center"/>
          </w:tcPr>
          <w:p>
            <w:pPr>
              <w:spacing w:after="40" w:before="40" w:line="240"/>
              <w:jc w:val="left"/>
            </w:pPr>
          </w:p>
        </w:tc>
        <w:tc>
          <w:tcPr>
            <w:tcW w:type="dxa" w:w="1400"/>
            <w:shd w:fill="F2F2F2" w:color="auto" w:val="clear"/>
            <w:tcMar>
              <w:top w:type="dxa" w:w="60"/>
              <w:left w:type="dxa" w:w="90"/>
              <w:bottom w:type="dxa" w:w="60"/>
              <w:right w:type="dxa" w:w="90"/>
            </w:tcMar>
            <w:vAlign w:val="center"/>
          </w:tcPr>
          <w:p>
            <w:pPr>
              <w:spacing w:after="40" w:before="40" w:line="240"/>
              <w:jc w:val="left"/>
            </w:pPr>
          </w:p>
        </w:tc>
        <w:tc>
          <w:tcPr>
            <w:tcW w:type="dxa" w:w="1000"/>
            <w:shd w:fill="F2F2F2" w:color="auto" w:val="clear"/>
            <w:tcMar>
              <w:top w:type="dxa" w:w="60"/>
              <w:left w:type="dxa" w:w="90"/>
              <w:bottom w:type="dxa" w:w="60"/>
              <w:right w:type="dxa" w:w="90"/>
            </w:tcMar>
            <w:vAlign w:val="center"/>
          </w:tcPr>
          <w:p>
            <w:pPr>
              <w:spacing w:after="40" w:before="40" w:line="240"/>
              <w:jc w:val="left"/>
            </w:pPr>
          </w:p>
        </w:tc>
      </w:tr>
      <w:tr>
        <w:tc>
          <w:tcPr>
            <w:tcW w:type="dxa" w:w="1100"/>
            <w:tcMar>
              <w:top w:type="dxa" w:w="60"/>
              <w:left w:type="dxa" w:w="90"/>
              <w:bottom w:type="dxa" w:w="60"/>
              <w:right w:type="dxa" w:w="90"/>
            </w:tcMar>
            <w:vAlign w:val="center"/>
          </w:tcPr>
          <w:p>
            <w:pPr>
              <w:spacing w:after="40" w:before="40" w:line="240"/>
              <w:jc w:val="left"/>
            </w:pPr>
          </w:p>
        </w:tc>
        <w:tc>
          <w:tcPr>
            <w:tcW w:type="dxa" w:w="1600"/>
            <w:tcMar>
              <w:top w:type="dxa" w:w="60"/>
              <w:left w:type="dxa" w:w="90"/>
              <w:bottom w:type="dxa" w:w="60"/>
              <w:right w:type="dxa" w:w="90"/>
            </w:tcMar>
            <w:vAlign w:val="center"/>
          </w:tcPr>
          <w:p>
            <w:pPr>
              <w:spacing w:after="40" w:before="40" w:line="240"/>
              <w:jc w:val="left"/>
            </w:pPr>
          </w:p>
        </w:tc>
        <w:tc>
          <w:tcPr>
            <w:tcW w:type="dxa" w:w="1000"/>
            <w:tcMar>
              <w:top w:type="dxa" w:w="60"/>
              <w:left w:type="dxa" w:w="90"/>
              <w:bottom w:type="dxa" w:w="60"/>
              <w:right w:type="dxa" w:w="90"/>
            </w:tcMar>
            <w:vAlign w:val="center"/>
          </w:tcPr>
          <w:p>
            <w:pPr>
              <w:spacing w:after="40" w:before="40" w:line="240"/>
              <w:jc w:val="left"/>
            </w:pPr>
          </w:p>
        </w:tc>
        <w:tc>
          <w:tcPr>
            <w:tcW w:type="dxa" w:w="1300"/>
            <w:tcMar>
              <w:top w:type="dxa" w:w="60"/>
              <w:left w:type="dxa" w:w="90"/>
              <w:bottom w:type="dxa" w:w="60"/>
              <w:right w:type="dxa" w:w="90"/>
            </w:tcMar>
            <w:vAlign w:val="center"/>
          </w:tcPr>
          <w:p>
            <w:pPr>
              <w:spacing w:after="40" w:before="40" w:line="240"/>
              <w:jc w:val="left"/>
            </w:pPr>
          </w:p>
        </w:tc>
        <w:tc>
          <w:tcPr>
            <w:tcW w:type="dxa" w:w="1300"/>
            <w:tcMar>
              <w:top w:type="dxa" w:w="60"/>
              <w:left w:type="dxa" w:w="90"/>
              <w:bottom w:type="dxa" w:w="60"/>
              <w:right w:type="dxa" w:w="90"/>
            </w:tcMar>
            <w:vAlign w:val="center"/>
          </w:tcPr>
          <w:p>
            <w:pPr>
              <w:spacing w:after="40" w:before="40" w:line="240"/>
              <w:jc w:val="left"/>
            </w:pPr>
          </w:p>
        </w:tc>
        <w:tc>
          <w:tcPr>
            <w:tcW w:type="dxa" w:w="900"/>
            <w:tcMar>
              <w:top w:type="dxa" w:w="60"/>
              <w:left w:type="dxa" w:w="90"/>
              <w:bottom w:type="dxa" w:w="60"/>
              <w:right w:type="dxa" w:w="90"/>
            </w:tcMar>
            <w:vAlign w:val="center"/>
          </w:tcPr>
          <w:p>
            <w:pPr>
              <w:spacing w:after="40" w:before="40" w:line="240"/>
              <w:jc w:val="left"/>
            </w:pPr>
          </w:p>
        </w:tc>
        <w:tc>
          <w:tcPr>
            <w:tcW w:type="dxa" w:w="1400"/>
            <w:tcMar>
              <w:top w:type="dxa" w:w="60"/>
              <w:left w:type="dxa" w:w="90"/>
              <w:bottom w:type="dxa" w:w="60"/>
              <w:right w:type="dxa" w:w="90"/>
            </w:tcMar>
            <w:vAlign w:val="center"/>
          </w:tcPr>
          <w:p>
            <w:pPr>
              <w:spacing w:after="40" w:before="40" w:line="240"/>
              <w:jc w:val="left"/>
            </w:pPr>
          </w:p>
        </w:tc>
        <w:tc>
          <w:tcPr>
            <w:tcW w:type="dxa" w:w="1000"/>
            <w:tcMar>
              <w:top w:type="dxa" w:w="60"/>
              <w:left w:type="dxa" w:w="90"/>
              <w:bottom w:type="dxa" w:w="60"/>
              <w:right w:type="dxa" w:w="90"/>
            </w:tcMar>
            <w:vAlign w:val="center"/>
          </w:tcPr>
          <w:p>
            <w:pPr>
              <w:spacing w:after="40" w:before="40" w:line="240"/>
              <w:jc w:val="left"/>
            </w:pPr>
          </w:p>
        </w:tc>
      </w:tr>
      <w:tr>
        <w:tc>
          <w:tcPr>
            <w:tcW w:type="dxa" w:w="1100"/>
            <w:shd w:fill="F2F2F2" w:color="auto" w:val="clear"/>
            <w:tcMar>
              <w:top w:type="dxa" w:w="60"/>
              <w:left w:type="dxa" w:w="90"/>
              <w:bottom w:type="dxa" w:w="60"/>
              <w:right w:type="dxa" w:w="90"/>
            </w:tcMar>
            <w:vAlign w:val="center"/>
          </w:tcPr>
          <w:p>
            <w:pPr>
              <w:spacing w:after="40" w:before="40" w:line="240"/>
              <w:jc w:val="left"/>
            </w:pPr>
          </w:p>
        </w:tc>
        <w:tc>
          <w:tcPr>
            <w:tcW w:type="dxa" w:w="1600"/>
            <w:shd w:fill="F2F2F2" w:color="auto" w:val="clear"/>
            <w:tcMar>
              <w:top w:type="dxa" w:w="60"/>
              <w:left w:type="dxa" w:w="90"/>
              <w:bottom w:type="dxa" w:w="60"/>
              <w:right w:type="dxa" w:w="90"/>
            </w:tcMar>
            <w:vAlign w:val="center"/>
          </w:tcPr>
          <w:p>
            <w:pPr>
              <w:spacing w:after="40" w:before="40" w:line="240"/>
              <w:jc w:val="left"/>
            </w:pPr>
          </w:p>
        </w:tc>
        <w:tc>
          <w:tcPr>
            <w:tcW w:type="dxa" w:w="1000"/>
            <w:shd w:fill="F2F2F2" w:color="auto" w:val="clear"/>
            <w:tcMar>
              <w:top w:type="dxa" w:w="60"/>
              <w:left w:type="dxa" w:w="90"/>
              <w:bottom w:type="dxa" w:w="60"/>
              <w:right w:type="dxa" w:w="90"/>
            </w:tcMar>
            <w:vAlign w:val="center"/>
          </w:tcPr>
          <w:p>
            <w:pPr>
              <w:spacing w:after="40" w:before="40" w:line="240"/>
              <w:jc w:val="left"/>
            </w:pPr>
          </w:p>
        </w:tc>
        <w:tc>
          <w:tcPr>
            <w:tcW w:type="dxa" w:w="1300"/>
            <w:shd w:fill="F2F2F2" w:color="auto" w:val="clear"/>
            <w:tcMar>
              <w:top w:type="dxa" w:w="60"/>
              <w:left w:type="dxa" w:w="90"/>
              <w:bottom w:type="dxa" w:w="60"/>
              <w:right w:type="dxa" w:w="90"/>
            </w:tcMar>
            <w:vAlign w:val="center"/>
          </w:tcPr>
          <w:p>
            <w:pPr>
              <w:spacing w:after="40" w:before="40" w:line="240"/>
              <w:jc w:val="left"/>
            </w:pPr>
          </w:p>
        </w:tc>
        <w:tc>
          <w:tcPr>
            <w:tcW w:type="dxa" w:w="1300"/>
            <w:shd w:fill="F2F2F2" w:color="auto" w:val="clear"/>
            <w:tcMar>
              <w:top w:type="dxa" w:w="60"/>
              <w:left w:type="dxa" w:w="90"/>
              <w:bottom w:type="dxa" w:w="60"/>
              <w:right w:type="dxa" w:w="90"/>
            </w:tcMar>
            <w:vAlign w:val="center"/>
          </w:tcPr>
          <w:p>
            <w:pPr>
              <w:spacing w:after="40" w:before="40" w:line="240"/>
              <w:jc w:val="left"/>
            </w:pPr>
          </w:p>
        </w:tc>
        <w:tc>
          <w:tcPr>
            <w:tcW w:type="dxa" w:w="900"/>
            <w:shd w:fill="F2F2F2" w:color="auto" w:val="clear"/>
            <w:tcMar>
              <w:top w:type="dxa" w:w="60"/>
              <w:left w:type="dxa" w:w="90"/>
              <w:bottom w:type="dxa" w:w="60"/>
              <w:right w:type="dxa" w:w="90"/>
            </w:tcMar>
            <w:vAlign w:val="center"/>
          </w:tcPr>
          <w:p>
            <w:pPr>
              <w:spacing w:after="40" w:before="40" w:line="240"/>
              <w:jc w:val="left"/>
            </w:pPr>
          </w:p>
        </w:tc>
        <w:tc>
          <w:tcPr>
            <w:tcW w:type="dxa" w:w="1400"/>
            <w:shd w:fill="F2F2F2" w:color="auto" w:val="clear"/>
            <w:tcMar>
              <w:top w:type="dxa" w:w="60"/>
              <w:left w:type="dxa" w:w="90"/>
              <w:bottom w:type="dxa" w:w="60"/>
              <w:right w:type="dxa" w:w="90"/>
            </w:tcMar>
            <w:vAlign w:val="center"/>
          </w:tcPr>
          <w:p>
            <w:pPr>
              <w:spacing w:after="40" w:before="40" w:line="240"/>
              <w:jc w:val="left"/>
            </w:pPr>
          </w:p>
        </w:tc>
        <w:tc>
          <w:tcPr>
            <w:tcW w:type="dxa" w:w="1000"/>
            <w:shd w:fill="F2F2F2" w:color="auto" w:val="clear"/>
            <w:tcMar>
              <w:top w:type="dxa" w:w="60"/>
              <w:left w:type="dxa" w:w="90"/>
              <w:bottom w:type="dxa" w:w="60"/>
              <w:right w:type="dxa" w:w="90"/>
            </w:tcMar>
            <w:vAlign w:val="center"/>
          </w:tcPr>
          <w:p>
            <w:pPr>
              <w:spacing w:after="40" w:before="40" w:line="240"/>
              <w:jc w:val="left"/>
            </w:pPr>
          </w:p>
        </w:tc>
      </w:tr>
      <w:tr>
        <w:tc>
          <w:tcPr>
            <w:tcW w:type="dxa" w:w="1100"/>
            <w:tcMar>
              <w:top w:type="dxa" w:w="60"/>
              <w:left w:type="dxa" w:w="90"/>
              <w:bottom w:type="dxa" w:w="60"/>
              <w:right w:type="dxa" w:w="90"/>
            </w:tcMar>
            <w:vAlign w:val="center"/>
          </w:tcPr>
          <w:p>
            <w:pPr>
              <w:spacing w:after="40" w:before="40" w:line="240"/>
              <w:jc w:val="left"/>
            </w:pPr>
          </w:p>
        </w:tc>
        <w:tc>
          <w:tcPr>
            <w:tcW w:type="dxa" w:w="1600"/>
            <w:tcMar>
              <w:top w:type="dxa" w:w="60"/>
              <w:left w:type="dxa" w:w="90"/>
              <w:bottom w:type="dxa" w:w="60"/>
              <w:right w:type="dxa" w:w="90"/>
            </w:tcMar>
            <w:vAlign w:val="center"/>
          </w:tcPr>
          <w:p>
            <w:pPr>
              <w:spacing w:after="40" w:before="40" w:line="240"/>
              <w:jc w:val="left"/>
            </w:pPr>
          </w:p>
        </w:tc>
        <w:tc>
          <w:tcPr>
            <w:tcW w:type="dxa" w:w="1000"/>
            <w:tcMar>
              <w:top w:type="dxa" w:w="60"/>
              <w:left w:type="dxa" w:w="90"/>
              <w:bottom w:type="dxa" w:w="60"/>
              <w:right w:type="dxa" w:w="90"/>
            </w:tcMar>
            <w:vAlign w:val="center"/>
          </w:tcPr>
          <w:p>
            <w:pPr>
              <w:spacing w:after="40" w:before="40" w:line="240"/>
              <w:jc w:val="left"/>
            </w:pPr>
          </w:p>
        </w:tc>
        <w:tc>
          <w:tcPr>
            <w:tcW w:type="dxa" w:w="1300"/>
            <w:tcMar>
              <w:top w:type="dxa" w:w="60"/>
              <w:left w:type="dxa" w:w="90"/>
              <w:bottom w:type="dxa" w:w="60"/>
              <w:right w:type="dxa" w:w="90"/>
            </w:tcMar>
            <w:vAlign w:val="center"/>
          </w:tcPr>
          <w:p>
            <w:pPr>
              <w:spacing w:after="40" w:before="40" w:line="240"/>
              <w:jc w:val="left"/>
            </w:pPr>
          </w:p>
        </w:tc>
        <w:tc>
          <w:tcPr>
            <w:tcW w:type="dxa" w:w="1300"/>
            <w:tcMar>
              <w:top w:type="dxa" w:w="60"/>
              <w:left w:type="dxa" w:w="90"/>
              <w:bottom w:type="dxa" w:w="60"/>
              <w:right w:type="dxa" w:w="90"/>
            </w:tcMar>
            <w:vAlign w:val="center"/>
          </w:tcPr>
          <w:p>
            <w:pPr>
              <w:spacing w:after="40" w:before="40" w:line="240"/>
              <w:jc w:val="left"/>
            </w:pPr>
          </w:p>
        </w:tc>
        <w:tc>
          <w:tcPr>
            <w:tcW w:type="dxa" w:w="900"/>
            <w:tcMar>
              <w:top w:type="dxa" w:w="60"/>
              <w:left w:type="dxa" w:w="90"/>
              <w:bottom w:type="dxa" w:w="60"/>
              <w:right w:type="dxa" w:w="90"/>
            </w:tcMar>
            <w:vAlign w:val="center"/>
          </w:tcPr>
          <w:p>
            <w:pPr>
              <w:spacing w:after="40" w:before="40" w:line="240"/>
              <w:jc w:val="left"/>
            </w:pPr>
          </w:p>
        </w:tc>
        <w:tc>
          <w:tcPr>
            <w:tcW w:type="dxa" w:w="1400"/>
            <w:tcMar>
              <w:top w:type="dxa" w:w="60"/>
              <w:left w:type="dxa" w:w="90"/>
              <w:bottom w:type="dxa" w:w="60"/>
              <w:right w:type="dxa" w:w="90"/>
            </w:tcMar>
            <w:vAlign w:val="center"/>
          </w:tcPr>
          <w:p>
            <w:pPr>
              <w:spacing w:after="40" w:before="40" w:line="240"/>
              <w:jc w:val="left"/>
            </w:pPr>
          </w:p>
        </w:tc>
        <w:tc>
          <w:tcPr>
            <w:tcW w:type="dxa" w:w="1000"/>
            <w:tcMar>
              <w:top w:type="dxa" w:w="60"/>
              <w:left w:type="dxa" w:w="90"/>
              <w:bottom w:type="dxa" w:w="60"/>
              <w:right w:type="dxa" w:w="90"/>
            </w:tcMar>
            <w:vAlign w:val="center"/>
          </w:tcPr>
          <w:p>
            <w:pPr>
              <w:spacing w:after="40" w:before="40" w:line="240"/>
              <w:jc w:val="left"/>
            </w:pPr>
          </w:p>
        </w:tc>
      </w:tr>
      <w:tr>
        <w:tc>
          <w:tcPr>
            <w:tcW w:type="dxa" w:w="1100"/>
            <w:shd w:fill="F2F2F2" w:color="auto" w:val="clear"/>
            <w:tcMar>
              <w:top w:type="dxa" w:w="60"/>
              <w:left w:type="dxa" w:w="90"/>
              <w:bottom w:type="dxa" w:w="60"/>
              <w:right w:type="dxa" w:w="90"/>
            </w:tcMar>
            <w:vAlign w:val="center"/>
          </w:tcPr>
          <w:p>
            <w:pPr>
              <w:spacing w:after="40" w:before="40" w:line="240"/>
              <w:jc w:val="left"/>
            </w:pPr>
          </w:p>
        </w:tc>
        <w:tc>
          <w:tcPr>
            <w:tcW w:type="dxa" w:w="1600"/>
            <w:shd w:fill="F2F2F2" w:color="auto" w:val="clear"/>
            <w:tcMar>
              <w:top w:type="dxa" w:w="60"/>
              <w:left w:type="dxa" w:w="90"/>
              <w:bottom w:type="dxa" w:w="60"/>
              <w:right w:type="dxa" w:w="90"/>
            </w:tcMar>
            <w:vAlign w:val="center"/>
          </w:tcPr>
          <w:p>
            <w:pPr>
              <w:spacing w:after="40" w:before="40" w:line="240"/>
              <w:jc w:val="left"/>
            </w:pPr>
          </w:p>
        </w:tc>
        <w:tc>
          <w:tcPr>
            <w:tcW w:type="dxa" w:w="1000"/>
            <w:shd w:fill="F2F2F2" w:color="auto" w:val="clear"/>
            <w:tcMar>
              <w:top w:type="dxa" w:w="60"/>
              <w:left w:type="dxa" w:w="90"/>
              <w:bottom w:type="dxa" w:w="60"/>
              <w:right w:type="dxa" w:w="90"/>
            </w:tcMar>
            <w:vAlign w:val="center"/>
          </w:tcPr>
          <w:p>
            <w:pPr>
              <w:spacing w:after="40" w:before="40" w:line="240"/>
              <w:jc w:val="left"/>
            </w:pPr>
          </w:p>
        </w:tc>
        <w:tc>
          <w:tcPr>
            <w:tcW w:type="dxa" w:w="1300"/>
            <w:shd w:fill="F2F2F2" w:color="auto" w:val="clear"/>
            <w:tcMar>
              <w:top w:type="dxa" w:w="60"/>
              <w:left w:type="dxa" w:w="90"/>
              <w:bottom w:type="dxa" w:w="60"/>
              <w:right w:type="dxa" w:w="90"/>
            </w:tcMar>
            <w:vAlign w:val="center"/>
          </w:tcPr>
          <w:p>
            <w:pPr>
              <w:spacing w:after="40" w:before="40" w:line="240"/>
              <w:jc w:val="left"/>
            </w:pPr>
          </w:p>
        </w:tc>
        <w:tc>
          <w:tcPr>
            <w:tcW w:type="dxa" w:w="1300"/>
            <w:shd w:fill="F2F2F2" w:color="auto" w:val="clear"/>
            <w:tcMar>
              <w:top w:type="dxa" w:w="60"/>
              <w:left w:type="dxa" w:w="90"/>
              <w:bottom w:type="dxa" w:w="60"/>
              <w:right w:type="dxa" w:w="90"/>
            </w:tcMar>
            <w:vAlign w:val="center"/>
          </w:tcPr>
          <w:p>
            <w:pPr>
              <w:spacing w:after="40" w:before="40" w:line="240"/>
              <w:jc w:val="left"/>
            </w:pPr>
          </w:p>
        </w:tc>
        <w:tc>
          <w:tcPr>
            <w:tcW w:type="dxa" w:w="900"/>
            <w:shd w:fill="F2F2F2" w:color="auto" w:val="clear"/>
            <w:tcMar>
              <w:top w:type="dxa" w:w="60"/>
              <w:left w:type="dxa" w:w="90"/>
              <w:bottom w:type="dxa" w:w="60"/>
              <w:right w:type="dxa" w:w="90"/>
            </w:tcMar>
            <w:vAlign w:val="center"/>
          </w:tcPr>
          <w:p>
            <w:pPr>
              <w:spacing w:after="40" w:before="40" w:line="240"/>
              <w:jc w:val="left"/>
            </w:pPr>
          </w:p>
        </w:tc>
        <w:tc>
          <w:tcPr>
            <w:tcW w:type="dxa" w:w="1400"/>
            <w:shd w:fill="F2F2F2" w:color="auto" w:val="clear"/>
            <w:tcMar>
              <w:top w:type="dxa" w:w="60"/>
              <w:left w:type="dxa" w:w="90"/>
              <w:bottom w:type="dxa" w:w="60"/>
              <w:right w:type="dxa" w:w="90"/>
            </w:tcMar>
            <w:vAlign w:val="center"/>
          </w:tcPr>
          <w:p>
            <w:pPr>
              <w:spacing w:after="40" w:before="40" w:line="240"/>
              <w:jc w:val="left"/>
            </w:pPr>
          </w:p>
        </w:tc>
        <w:tc>
          <w:tcPr>
            <w:tcW w:type="dxa" w:w="1000"/>
            <w:shd w:fill="F2F2F2" w:color="auto" w:val="clear"/>
            <w:tcMar>
              <w:top w:type="dxa" w:w="60"/>
              <w:left w:type="dxa" w:w="90"/>
              <w:bottom w:type="dxa" w:w="60"/>
              <w:right w:type="dxa" w:w="90"/>
            </w:tcMar>
            <w:vAlign w:val="center"/>
          </w:tcPr>
          <w:p>
            <w:pPr>
              <w:spacing w:after="40" w:before="40" w:line="240"/>
              <w:jc w:val="left"/>
            </w:pPr>
          </w:p>
        </w:tc>
      </w:tr>
    </w:tbl>
    <w:p>
      <w:pPr>
        <w:pStyle w:val="Heading1"/>
        <w:pageBreakBefore/>
        <w:pBdr>
          <w:bottom w:val="single" w:color="2E74B5" w:sz="8" w:space="6"/>
        </w:pBdr>
        <w:spacing w:after="180" w:before="240"/>
      </w:pPr>
      <w:r>
        <w:rPr>
          <w:rFonts w:ascii="Calibri" w:cs="Calibri" w:eastAsia="Calibri" w:hAnsi="Calibri"/>
          <w:b/>
          <w:bCs/>
          <w:color w:val="1F3864"/>
          <w:sz w:val="30"/>
          <w:szCs w:val="30"/>
        </w:rPr>
        <w:t xml:space="preserve">Anexo F. Checklist de la primera semana</w:t>
      </w:r>
    </w:p>
    <w:p>
      <w:pPr>
        <w:spacing w:after="120" w:line="264"/>
        <w:jc w:val="both"/>
      </w:pPr>
      <w:r>
        <w:rPr>
          <w:rFonts w:ascii="Calibri" w:cs="Calibri" w:eastAsia="Calibri" w:hAnsi="Calibri"/>
          <w:b w:val="false"/>
          <w:bCs w:val="false"/>
          <w:i w:val="false"/>
          <w:iCs w:val="false"/>
          <w:sz w:val="21"/>
          <w:szCs w:val="21"/>
        </w:rPr>
        <w:t xml:space="preserve">Si de todo este documento solo se hiciera una página, sería esta.</w:t>
      </w:r>
    </w:p>
    <w:tbl>
      <w:tblPr>
        <w:tblW w:type="dxa" w:w="8800"/>
        <w:tblBorders>
          <w:top w:val="single" w:color="BFBFBF" w:sz="4"/>
          <w:left w:val="single" w:color="BFBFBF" w:sz="4"/>
          <w:bottom w:val="single" w:color="BFBFBF" w:sz="4"/>
          <w:right w:val="single" w:color="BFBFBF" w:sz="4"/>
          <w:insideH w:val="single" w:color="D9D9D9" w:sz="2"/>
          <w:insideV w:val="single" w:color="D9D9D9" w:sz="2"/>
        </w:tblBorders>
      </w:tblPr>
      <w:tblGrid>
        <w:gridCol w:w="500"/>
        <w:gridCol w:w="5600"/>
        <w:gridCol w:w="2000"/>
        <w:gridCol w:w="700"/>
      </w:tblGrid>
      <w:tr>
        <w:trPr>
          <w:tblHeader/>
        </w:trPr>
        <w:tc>
          <w:tcPr>
            <w:tcW w:type="dxa" w:w="500"/>
            <w:shd w:fill="1F3864"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color w:val="FFFFFF"/>
                <w:sz w:val="19"/>
                <w:szCs w:val="19"/>
              </w:rPr>
              <w:t xml:space="preserve">✓</w:t>
            </w:r>
          </w:p>
        </w:tc>
        <w:tc>
          <w:tcPr>
            <w:tcW w:type="dxa" w:w="5600"/>
            <w:shd w:fill="1F3864"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color w:val="FFFFFF"/>
                <w:sz w:val="19"/>
                <w:szCs w:val="19"/>
              </w:rPr>
              <w:t xml:space="preserve">Tarea</w:t>
            </w:r>
          </w:p>
        </w:tc>
        <w:tc>
          <w:tcPr>
            <w:tcW w:type="dxa" w:w="2000"/>
            <w:shd w:fill="1F3864"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color w:val="FFFFFF"/>
                <w:sz w:val="19"/>
                <w:szCs w:val="19"/>
              </w:rPr>
              <w:t xml:space="preserve">Responsable</w:t>
            </w:r>
          </w:p>
        </w:tc>
        <w:tc>
          <w:tcPr>
            <w:tcW w:type="dxa" w:w="700"/>
            <w:shd w:fill="1F3864"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bCs/>
                <w:i w:val="false"/>
                <w:iCs w:val="false"/>
                <w:color w:val="FFFFFF"/>
                <w:sz w:val="19"/>
                <w:szCs w:val="19"/>
              </w:rPr>
              <w:t xml:space="preserve">Día</w:t>
            </w:r>
          </w:p>
        </w:tc>
      </w:tr>
      <w:tr>
        <w:tc>
          <w:tcPr>
            <w:tcW w:type="dxa" w:w="500"/>
            <w:tcMar>
              <w:top w:type="dxa" w:w="60"/>
              <w:left w:type="dxa" w:w="90"/>
              <w:bottom w:type="dxa" w:w="60"/>
              <w:right w:type="dxa" w:w="90"/>
            </w:tcMar>
            <w:vAlign w:val="center"/>
          </w:tcPr>
          <w:p>
            <w:pPr>
              <w:spacing w:after="40" w:before="40" w:line="240"/>
              <w:jc w:val="left"/>
            </w:pPr>
          </w:p>
        </w:tc>
        <w:tc>
          <w:tcPr>
            <w:tcW w:type="dxa" w:w="5600"/>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Crear el canal único de pagos (correo, teléfono y horario de atención).</w:t>
            </w:r>
          </w:p>
        </w:tc>
        <w:tc>
          <w:tcPr>
            <w:tcW w:type="dxa" w:w="2000"/>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Administración</w:t>
            </w:r>
          </w:p>
        </w:tc>
        <w:tc>
          <w:tcPr>
            <w:tcW w:type="dxa" w:w="700"/>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1</w:t>
            </w:r>
          </w:p>
        </w:tc>
      </w:tr>
      <w:tr>
        <w:tc>
          <w:tcPr>
            <w:tcW w:type="dxa" w:w="500"/>
            <w:shd w:fill="F2F2F2" w:color="auto" w:val="clear"/>
            <w:tcMar>
              <w:top w:type="dxa" w:w="60"/>
              <w:left w:type="dxa" w:w="90"/>
              <w:bottom w:type="dxa" w:w="60"/>
              <w:right w:type="dxa" w:w="90"/>
            </w:tcMar>
            <w:vAlign w:val="center"/>
          </w:tcPr>
          <w:p>
            <w:pPr>
              <w:spacing w:after="40" w:before="40" w:line="240"/>
              <w:jc w:val="left"/>
            </w:pPr>
          </w:p>
        </w:tc>
        <w:tc>
          <w:tcPr>
            <w:tcW w:type="dxa" w:w="56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Enviar la comunicación del Anexo D.1 a todos los proveedores.</w:t>
            </w:r>
          </w:p>
        </w:tc>
        <w:tc>
          <w:tcPr>
            <w:tcW w:type="dxa" w:w="20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Administración</w:t>
            </w:r>
          </w:p>
        </w:tc>
        <w:tc>
          <w:tcPr>
            <w:tcW w:type="dxa" w:w="7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1</w:t>
            </w:r>
          </w:p>
        </w:tc>
      </w:tr>
      <w:tr>
        <w:tc>
          <w:tcPr>
            <w:tcW w:type="dxa" w:w="500"/>
            <w:tcMar>
              <w:top w:type="dxa" w:w="60"/>
              <w:left w:type="dxa" w:w="90"/>
              <w:bottom w:type="dxa" w:w="60"/>
              <w:right w:type="dxa" w:w="90"/>
            </w:tcMar>
            <w:vAlign w:val="center"/>
          </w:tcPr>
          <w:p>
            <w:pPr>
              <w:spacing w:after="40" w:before="40" w:line="240"/>
              <w:jc w:val="left"/>
            </w:pPr>
          </w:p>
        </w:tc>
        <w:tc>
          <w:tcPr>
            <w:tcW w:type="dxa" w:w="5600"/>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Abrir el registro de reclamaciones y empezar a anotar todas.</w:t>
            </w:r>
          </w:p>
        </w:tc>
        <w:tc>
          <w:tcPr>
            <w:tcW w:type="dxa" w:w="2000"/>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Administración</w:t>
            </w:r>
          </w:p>
        </w:tc>
        <w:tc>
          <w:tcPr>
            <w:tcW w:type="dxa" w:w="700"/>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1</w:t>
            </w:r>
          </w:p>
        </w:tc>
      </w:tr>
      <w:tr>
        <w:tc>
          <w:tcPr>
            <w:tcW w:type="dxa" w:w="500"/>
            <w:shd w:fill="F2F2F2" w:color="auto" w:val="clear"/>
            <w:tcMar>
              <w:top w:type="dxa" w:w="60"/>
              <w:left w:type="dxa" w:w="90"/>
              <w:bottom w:type="dxa" w:w="60"/>
              <w:right w:type="dxa" w:w="90"/>
            </w:tcMar>
            <w:vAlign w:val="center"/>
          </w:tcPr>
          <w:p>
            <w:pPr>
              <w:spacing w:after="40" w:before="40" w:line="240"/>
              <w:jc w:val="left"/>
            </w:pPr>
          </w:p>
        </w:tc>
        <w:tc>
          <w:tcPr>
            <w:tcW w:type="dxa" w:w="56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Acordar y comunicar internamente la frase de derivación de llamadas.</w:t>
            </w:r>
          </w:p>
        </w:tc>
        <w:tc>
          <w:tcPr>
            <w:tcW w:type="dxa" w:w="20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Dirección</w:t>
            </w:r>
          </w:p>
        </w:tc>
        <w:tc>
          <w:tcPr>
            <w:tcW w:type="dxa" w:w="7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1</w:t>
            </w:r>
          </w:p>
        </w:tc>
      </w:tr>
      <w:tr>
        <w:tc>
          <w:tcPr>
            <w:tcW w:type="dxa" w:w="500"/>
            <w:tcMar>
              <w:top w:type="dxa" w:w="60"/>
              <w:left w:type="dxa" w:w="90"/>
              <w:bottom w:type="dxa" w:w="60"/>
              <w:right w:type="dxa" w:w="90"/>
            </w:tcMar>
            <w:vAlign w:val="center"/>
          </w:tcPr>
          <w:p>
            <w:pPr>
              <w:spacing w:after="40" w:before="40" w:line="240"/>
              <w:jc w:val="left"/>
            </w:pPr>
          </w:p>
        </w:tc>
        <w:tc>
          <w:tcPr>
            <w:tcW w:type="dxa" w:w="5600"/>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Descargar el listado completo de facturas de proveedor pendientes.</w:t>
            </w:r>
          </w:p>
        </w:tc>
        <w:tc>
          <w:tcPr>
            <w:tcW w:type="dxa" w:w="2000"/>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Administración</w:t>
            </w:r>
          </w:p>
        </w:tc>
        <w:tc>
          <w:tcPr>
            <w:tcW w:type="dxa" w:w="700"/>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2</w:t>
            </w:r>
          </w:p>
        </w:tc>
      </w:tr>
      <w:tr>
        <w:tc>
          <w:tcPr>
            <w:tcW w:type="dxa" w:w="500"/>
            <w:shd w:fill="F2F2F2" w:color="auto" w:val="clear"/>
            <w:tcMar>
              <w:top w:type="dxa" w:w="60"/>
              <w:left w:type="dxa" w:w="90"/>
              <w:bottom w:type="dxa" w:w="60"/>
              <w:right w:type="dxa" w:w="90"/>
            </w:tcMar>
            <w:vAlign w:val="center"/>
          </w:tcPr>
          <w:p>
            <w:pPr>
              <w:spacing w:after="40" w:before="40" w:line="240"/>
              <w:jc w:val="left"/>
            </w:pPr>
          </w:p>
        </w:tc>
        <w:tc>
          <w:tcPr>
            <w:tcW w:type="dxa" w:w="56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Descargar el listado completo de facturas de cliente pendientes de cobro.</w:t>
            </w:r>
          </w:p>
        </w:tc>
        <w:tc>
          <w:tcPr>
            <w:tcW w:type="dxa" w:w="20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Administración</w:t>
            </w:r>
          </w:p>
        </w:tc>
        <w:tc>
          <w:tcPr>
            <w:tcW w:type="dxa" w:w="7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2</w:t>
            </w:r>
          </w:p>
        </w:tc>
      </w:tr>
      <w:tr>
        <w:tc>
          <w:tcPr>
            <w:tcW w:type="dxa" w:w="500"/>
            <w:tcMar>
              <w:top w:type="dxa" w:w="60"/>
              <w:left w:type="dxa" w:w="90"/>
              <w:bottom w:type="dxa" w:w="60"/>
              <w:right w:type="dxa" w:w="90"/>
            </w:tcMar>
            <w:vAlign w:val="center"/>
          </w:tcPr>
          <w:p>
            <w:pPr>
              <w:spacing w:after="40" w:before="40" w:line="240"/>
              <w:jc w:val="left"/>
            </w:pPr>
          </w:p>
        </w:tc>
        <w:tc>
          <w:tcPr>
            <w:tcW w:type="dxa" w:w="5600"/>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Solicitar a la gestoría la situación de deuda con AEAT y TGSS.</w:t>
            </w:r>
          </w:p>
        </w:tc>
        <w:tc>
          <w:tcPr>
            <w:tcW w:type="dxa" w:w="2000"/>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Gestoría</w:t>
            </w:r>
          </w:p>
        </w:tc>
        <w:tc>
          <w:tcPr>
            <w:tcW w:type="dxa" w:w="700"/>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2</w:t>
            </w:r>
          </w:p>
        </w:tc>
      </w:tr>
      <w:tr>
        <w:tc>
          <w:tcPr>
            <w:tcW w:type="dxa" w:w="500"/>
            <w:shd w:fill="F2F2F2" w:color="auto" w:val="clear"/>
            <w:tcMar>
              <w:top w:type="dxa" w:w="60"/>
              <w:left w:type="dxa" w:w="90"/>
              <w:bottom w:type="dxa" w:w="60"/>
              <w:right w:type="dxa" w:w="90"/>
            </w:tcMar>
            <w:vAlign w:val="center"/>
          </w:tcPr>
          <w:p>
            <w:pPr>
              <w:spacing w:after="40" w:before="40" w:line="240"/>
              <w:jc w:val="left"/>
            </w:pPr>
          </w:p>
        </w:tc>
        <w:tc>
          <w:tcPr>
            <w:tcW w:type="dxa" w:w="56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Consolidar saldos bancarios y disponible en pólizas y líneas.</w:t>
            </w:r>
          </w:p>
        </w:tc>
        <w:tc>
          <w:tcPr>
            <w:tcW w:type="dxa" w:w="20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Administración</w:t>
            </w:r>
          </w:p>
        </w:tc>
        <w:tc>
          <w:tcPr>
            <w:tcW w:type="dxa" w:w="7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3</w:t>
            </w:r>
          </w:p>
        </w:tc>
      </w:tr>
      <w:tr>
        <w:tc>
          <w:tcPr>
            <w:tcW w:type="dxa" w:w="500"/>
            <w:tcMar>
              <w:top w:type="dxa" w:w="60"/>
              <w:left w:type="dxa" w:w="90"/>
              <w:bottom w:type="dxa" w:w="60"/>
              <w:right w:type="dxa" w:w="90"/>
            </w:tcMar>
            <w:vAlign w:val="center"/>
          </w:tcPr>
          <w:p>
            <w:pPr>
              <w:spacing w:after="40" w:before="40" w:line="240"/>
              <w:jc w:val="left"/>
            </w:pPr>
          </w:p>
        </w:tc>
        <w:tc>
          <w:tcPr>
            <w:tcW w:type="dxa" w:w="5600"/>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Clasificar los proveedores por semáforo (rojo / ámbar / verde).</w:t>
            </w:r>
          </w:p>
        </w:tc>
        <w:tc>
          <w:tcPr>
            <w:tcW w:type="dxa" w:w="2000"/>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Administración</w:t>
            </w:r>
          </w:p>
        </w:tc>
        <w:tc>
          <w:tcPr>
            <w:tcW w:type="dxa" w:w="700"/>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4</w:t>
            </w:r>
          </w:p>
        </w:tc>
      </w:tr>
      <w:tr>
        <w:tc>
          <w:tcPr>
            <w:tcW w:type="dxa" w:w="500"/>
            <w:shd w:fill="F2F2F2" w:color="auto" w:val="clear"/>
            <w:tcMar>
              <w:top w:type="dxa" w:w="60"/>
              <w:left w:type="dxa" w:w="90"/>
              <w:bottom w:type="dxa" w:w="60"/>
              <w:right w:type="dxa" w:w="90"/>
            </w:tcMar>
            <w:vAlign w:val="center"/>
          </w:tcPr>
          <w:p>
            <w:pPr>
              <w:spacing w:after="40" w:before="40" w:line="240"/>
              <w:jc w:val="left"/>
            </w:pPr>
          </w:p>
        </w:tc>
        <w:tc>
          <w:tcPr>
            <w:tcW w:type="dxa" w:w="56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Identificar los proveedores que superan el 15 % de la deuda total.</w:t>
            </w:r>
          </w:p>
        </w:tc>
        <w:tc>
          <w:tcPr>
            <w:tcW w:type="dxa" w:w="20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Administración</w:t>
            </w:r>
          </w:p>
        </w:tc>
        <w:tc>
          <w:tcPr>
            <w:tcW w:type="dxa" w:w="7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4</w:t>
            </w:r>
          </w:p>
        </w:tc>
      </w:tr>
      <w:tr>
        <w:tc>
          <w:tcPr>
            <w:tcW w:type="dxa" w:w="500"/>
            <w:tcMar>
              <w:top w:type="dxa" w:w="60"/>
              <w:left w:type="dxa" w:w="90"/>
              <w:bottom w:type="dxa" w:w="60"/>
              <w:right w:type="dxa" w:w="90"/>
            </w:tcMar>
            <w:vAlign w:val="center"/>
          </w:tcPr>
          <w:p>
            <w:pPr>
              <w:spacing w:after="40" w:before="40" w:line="240"/>
              <w:jc w:val="left"/>
            </w:pPr>
          </w:p>
        </w:tc>
        <w:tc>
          <w:tcPr>
            <w:tcW w:type="dxa" w:w="5600"/>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Hacer el test de viabilidad del apartado 3.3 con la gestoría.</w:t>
            </w:r>
          </w:p>
        </w:tc>
        <w:tc>
          <w:tcPr>
            <w:tcW w:type="dxa" w:w="2000"/>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Dirección</w:t>
            </w:r>
          </w:p>
        </w:tc>
        <w:tc>
          <w:tcPr>
            <w:tcW w:type="dxa" w:w="700"/>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5</w:t>
            </w:r>
          </w:p>
        </w:tc>
      </w:tr>
      <w:tr>
        <w:tc>
          <w:tcPr>
            <w:tcW w:type="dxa" w:w="500"/>
            <w:shd w:fill="F2F2F2" w:color="auto" w:val="clear"/>
            <w:tcMar>
              <w:top w:type="dxa" w:w="60"/>
              <w:left w:type="dxa" w:w="90"/>
              <w:bottom w:type="dxa" w:w="60"/>
              <w:right w:type="dxa" w:w="90"/>
            </w:tcMar>
            <w:vAlign w:val="center"/>
          </w:tcPr>
          <w:p>
            <w:pPr>
              <w:spacing w:after="40" w:before="40" w:line="240"/>
              <w:jc w:val="left"/>
            </w:pPr>
          </w:p>
        </w:tc>
        <w:tc>
          <w:tcPr>
            <w:tcW w:type="dxa" w:w="56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Verificar el censo de gasóleo profesional y las ayudas al carburante pendientes de solicitar.</w:t>
            </w:r>
          </w:p>
        </w:tc>
        <w:tc>
          <w:tcPr>
            <w:tcW w:type="dxa" w:w="20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Gestoría</w:t>
            </w:r>
          </w:p>
        </w:tc>
        <w:tc>
          <w:tcPr>
            <w:tcW w:type="dxa" w:w="7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5</w:t>
            </w:r>
          </w:p>
        </w:tc>
      </w:tr>
      <w:tr>
        <w:tc>
          <w:tcPr>
            <w:tcW w:type="dxa" w:w="500"/>
            <w:tcMar>
              <w:top w:type="dxa" w:w="60"/>
              <w:left w:type="dxa" w:w="90"/>
              <w:bottom w:type="dxa" w:w="60"/>
              <w:right w:type="dxa" w:w="90"/>
            </w:tcMar>
            <w:vAlign w:val="center"/>
          </w:tcPr>
          <w:p>
            <w:pPr>
              <w:spacing w:after="40" w:before="40" w:line="240"/>
              <w:jc w:val="left"/>
            </w:pPr>
          </w:p>
        </w:tc>
        <w:tc>
          <w:tcPr>
            <w:tcW w:type="dxa" w:w="5600"/>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Comprobar si se está aplicando y facturando la cláusula de revisión del gasóleo.</w:t>
            </w:r>
          </w:p>
        </w:tc>
        <w:tc>
          <w:tcPr>
            <w:tcW w:type="dxa" w:w="2000"/>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Gestoría</w:t>
            </w:r>
          </w:p>
        </w:tc>
        <w:tc>
          <w:tcPr>
            <w:tcW w:type="dxa" w:w="700"/>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5</w:t>
            </w:r>
          </w:p>
        </w:tc>
      </w:tr>
      <w:tr>
        <w:tc>
          <w:tcPr>
            <w:tcW w:type="dxa" w:w="500"/>
            <w:shd w:fill="F2F2F2" w:color="auto" w:val="clear"/>
            <w:tcMar>
              <w:top w:type="dxa" w:w="60"/>
              <w:left w:type="dxa" w:w="90"/>
              <w:bottom w:type="dxa" w:w="60"/>
              <w:right w:type="dxa" w:w="90"/>
            </w:tcMar>
            <w:vAlign w:val="center"/>
          </w:tcPr>
          <w:p>
            <w:pPr>
              <w:spacing w:after="40" w:before="40" w:line="240"/>
              <w:jc w:val="left"/>
            </w:pPr>
          </w:p>
        </w:tc>
        <w:tc>
          <w:tcPr>
            <w:tcW w:type="dxa" w:w="56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Aprobar y firmar la política de prelación de pagos.</w:t>
            </w:r>
          </w:p>
        </w:tc>
        <w:tc>
          <w:tcPr>
            <w:tcW w:type="dxa" w:w="20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Dirección</w:t>
            </w:r>
          </w:p>
        </w:tc>
        <w:tc>
          <w:tcPr>
            <w:tcW w:type="dxa" w:w="700"/>
            <w:shd w:fill="F2F2F2" w:color="auto" w:val="clear"/>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5</w:t>
            </w:r>
          </w:p>
        </w:tc>
      </w:tr>
      <w:tr>
        <w:tc>
          <w:tcPr>
            <w:tcW w:type="dxa" w:w="500"/>
            <w:tcMar>
              <w:top w:type="dxa" w:w="60"/>
              <w:left w:type="dxa" w:w="90"/>
              <w:bottom w:type="dxa" w:w="60"/>
              <w:right w:type="dxa" w:w="90"/>
            </w:tcMar>
            <w:vAlign w:val="center"/>
          </w:tcPr>
          <w:p>
            <w:pPr>
              <w:spacing w:after="40" w:before="40" w:line="240"/>
              <w:jc w:val="left"/>
            </w:pPr>
          </w:p>
        </w:tc>
        <w:tc>
          <w:tcPr>
            <w:tcW w:type="dxa" w:w="5600"/>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Fijar el primer comité de pagos en la agenda, como cita semanal fija.</w:t>
            </w:r>
          </w:p>
        </w:tc>
        <w:tc>
          <w:tcPr>
            <w:tcW w:type="dxa" w:w="2000"/>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Dirección</w:t>
            </w:r>
          </w:p>
        </w:tc>
        <w:tc>
          <w:tcPr>
            <w:tcW w:type="dxa" w:w="700"/>
            <w:tcMar>
              <w:top w:type="dxa" w:w="60"/>
              <w:left w:type="dxa" w:w="90"/>
              <w:bottom w:type="dxa" w:w="60"/>
              <w:right w:type="dxa" w:w="90"/>
            </w:tcMar>
            <w:vAlign w:val="center"/>
          </w:tcPr>
          <w:p>
            <w:pPr>
              <w:spacing w:after="40" w:before="40" w:line="240"/>
              <w:jc w:val="left"/>
            </w:pPr>
            <w:r>
              <w:rPr>
                <w:rFonts w:ascii="Calibri" w:cs="Calibri" w:eastAsia="Calibri" w:hAnsi="Calibri"/>
                <w:b w:val="false"/>
                <w:bCs w:val="false"/>
                <w:i w:val="false"/>
                <w:iCs w:val="false"/>
                <w:sz w:val="19"/>
                <w:szCs w:val="19"/>
              </w:rPr>
              <w:t xml:space="preserve">5</w:t>
            </w:r>
          </w:p>
        </w:tc>
      </w:tr>
    </w:tbl>
    <w:p>
      <w:pPr>
        <w:pStyle w:val="Heading1"/>
        <w:pageBreakBefore/>
        <w:pBdr>
          <w:bottom w:val="single" w:color="2E74B5" w:sz="8" w:space="6"/>
        </w:pBdr>
        <w:spacing w:after="180" w:before="240"/>
      </w:pPr>
      <w:r>
        <w:rPr>
          <w:rFonts w:ascii="Calibri" w:cs="Calibri" w:eastAsia="Calibri" w:hAnsi="Calibri"/>
          <w:b/>
          <w:bCs/>
          <w:color w:val="1F3864"/>
          <w:sz w:val="30"/>
          <w:szCs w:val="30"/>
        </w:rPr>
        <w:t xml:space="preserve">Referencias normativas</w:t>
      </w:r>
    </w:p>
    <w:p>
      <w:pPr>
        <w:spacing w:after="120" w:line="264"/>
        <w:jc w:val="both"/>
      </w:pPr>
      <w:r>
        <w:rPr>
          <w:rFonts w:ascii="Calibri" w:cs="Calibri" w:eastAsia="Calibri" w:hAnsi="Calibri"/>
          <w:b w:val="false"/>
          <w:bCs w:val="false"/>
          <w:i w:val="false"/>
          <w:iCs w:val="false"/>
          <w:sz w:val="21"/>
          <w:szCs w:val="21"/>
        </w:rPr>
        <w:t xml:space="preserve">Referencias utilizadas en la elaboración de este documento, actualizadas a 16 de septiembre de 2026. Su aplicación concreta al caso de Transportes Araya debe validarse con la asesoría de la empresa.</w:t>
      </w:r>
    </w:p>
    <w:p>
      <w:pPr>
        <w:pStyle w:val="ListParagraph"/>
        <w:numPr>
          <w:ilvl w:val="0"/>
          <w:numId w:val="3"/>
        </w:numPr>
        <w:spacing w:after="70" w:line="264"/>
        <w:jc w:val="both"/>
      </w:pPr>
      <w:r>
        <w:rPr>
          <w:rFonts w:ascii="Calibri" w:cs="Calibri" w:eastAsia="Calibri" w:hAnsi="Calibri"/>
          <w:b/>
          <w:bCs/>
          <w:i w:val="false"/>
          <w:iCs w:val="false"/>
          <w:sz w:val="21"/>
          <w:szCs w:val="21"/>
        </w:rPr>
        <w:t xml:space="preserve">Ley 16/1987</w:t>
      </w:r>
      <w:r>
        <w:rPr>
          <w:rFonts w:ascii="Calibri" w:cs="Calibri" w:eastAsia="Calibri" w:hAnsi="Calibri"/>
          <w:b w:val="false"/>
          <w:bCs w:val="false"/>
          <w:i w:val="false"/>
          <w:iCs w:val="false"/>
          <w:sz w:val="21"/>
          <w:szCs w:val="21"/>
        </w:rPr>
        <w:t xml:space="preserve">, de Ordenación de los Transportes Terrestres (LOTT), y </w:t>
      </w:r>
      <w:r>
        <w:rPr>
          <w:rFonts w:ascii="Calibri" w:cs="Calibri" w:eastAsia="Calibri" w:hAnsi="Calibri"/>
          <w:b/>
          <w:bCs/>
          <w:i w:val="false"/>
          <w:iCs w:val="false"/>
          <w:sz w:val="21"/>
          <w:szCs w:val="21"/>
        </w:rPr>
        <w:t xml:space="preserve">Ley 13/2021</w:t>
      </w:r>
      <w:r>
        <w:rPr>
          <w:rFonts w:ascii="Calibri" w:cs="Calibri" w:eastAsia="Calibri" w:hAnsi="Calibri"/>
          <w:b w:val="false"/>
          <w:bCs w:val="false"/>
          <w:i w:val="false"/>
          <w:iCs w:val="false"/>
          <w:sz w:val="21"/>
          <w:szCs w:val="21"/>
        </w:rPr>
        <w:t xml:space="preserve">, de 1 de octubre, que la modifica para luchar contra la morosidad en el transporte de mercancías por carretera: plazo de pago de 30 días ampliable a un máximo de 60, nulidad de los pactos que lo superen y régimen sancionador específico.</w:t>
      </w:r>
    </w:p>
    <w:p>
      <w:pPr>
        <w:pStyle w:val="ListParagraph"/>
        <w:numPr>
          <w:ilvl w:val="0"/>
          <w:numId w:val="3"/>
        </w:numPr>
        <w:spacing w:after="70" w:line="264"/>
        <w:jc w:val="both"/>
      </w:pPr>
      <w:r>
        <w:rPr>
          <w:rFonts w:ascii="Calibri" w:cs="Calibri" w:eastAsia="Calibri" w:hAnsi="Calibri"/>
          <w:b/>
          <w:bCs/>
          <w:i w:val="false"/>
          <w:iCs w:val="false"/>
          <w:sz w:val="21"/>
          <w:szCs w:val="21"/>
        </w:rPr>
        <w:t xml:space="preserve">Normativa sobre la cláusula de revisión del precio del transporte por variación del precio del gasóleo</w:t>
      </w:r>
      <w:r>
        <w:rPr>
          <w:rFonts w:ascii="Calibri" w:cs="Calibri" w:eastAsia="Calibri" w:hAnsi="Calibri"/>
          <w:b w:val="false"/>
          <w:bCs w:val="false"/>
          <w:i w:val="false"/>
          <w:iCs w:val="false"/>
          <w:sz w:val="21"/>
          <w:szCs w:val="21"/>
        </w:rPr>
        <w:t xml:space="preserve">: aplicación obligatoria e inescindible, desglose obligatorio en factura y nulidad del pacto en contrario.</w:t>
      </w:r>
    </w:p>
    <w:p>
      <w:pPr>
        <w:pStyle w:val="ListParagraph"/>
        <w:numPr>
          <w:ilvl w:val="0"/>
          <w:numId w:val="3"/>
        </w:numPr>
        <w:spacing w:after="70" w:line="264"/>
        <w:jc w:val="both"/>
      </w:pPr>
      <w:r>
        <w:rPr>
          <w:rFonts w:ascii="Calibri" w:cs="Calibri" w:eastAsia="Calibri" w:hAnsi="Calibri"/>
          <w:b/>
          <w:bCs/>
          <w:i w:val="false"/>
          <w:iCs w:val="false"/>
          <w:sz w:val="21"/>
          <w:szCs w:val="21"/>
        </w:rPr>
        <w:t xml:space="preserve">Ley 3/2004</w:t>
      </w:r>
      <w:r>
        <w:rPr>
          <w:rFonts w:ascii="Calibri" w:cs="Calibri" w:eastAsia="Calibri" w:hAnsi="Calibri"/>
          <w:b w:val="false"/>
          <w:bCs w:val="false"/>
          <w:i w:val="false"/>
          <w:iCs w:val="false"/>
          <w:sz w:val="21"/>
          <w:szCs w:val="21"/>
        </w:rPr>
        <w:t xml:space="preserve">, de 29 de diciembre, de lucha contra la morosidad en las operaciones comerciales: intereses de demora e indemnización de 40 € por costes de cobro. Tipo legal para el segundo semestre de 2026: </w:t>
      </w:r>
      <w:r>
        <w:rPr>
          <w:rFonts w:ascii="Calibri" w:cs="Calibri" w:eastAsia="Calibri" w:hAnsi="Calibri"/>
          <w:b/>
          <w:bCs/>
          <w:i w:val="false"/>
          <w:iCs w:val="false"/>
          <w:sz w:val="21"/>
          <w:szCs w:val="21"/>
        </w:rPr>
        <w:t xml:space="preserve">10,40 %</w:t>
      </w:r>
      <w:r>
        <w:rPr>
          <w:rFonts w:ascii="Calibri" w:cs="Calibri" w:eastAsia="Calibri" w:hAnsi="Calibri"/>
          <w:b w:val="false"/>
          <w:bCs w:val="false"/>
          <w:i w:val="false"/>
          <w:iCs w:val="false"/>
          <w:sz w:val="21"/>
          <w:szCs w:val="21"/>
        </w:rPr>
        <w:t xml:space="preserve"> (Resolución de 30 de junio de 2026 de la Secretaría General del Tesoro, BOE de 1 de julio de 2026).</w:t>
      </w:r>
    </w:p>
    <w:p>
      <w:pPr>
        <w:pStyle w:val="ListParagraph"/>
        <w:numPr>
          <w:ilvl w:val="0"/>
          <w:numId w:val="3"/>
        </w:numPr>
        <w:spacing w:after="70" w:line="264"/>
        <w:jc w:val="both"/>
      </w:pPr>
      <w:r>
        <w:rPr>
          <w:rFonts w:ascii="Calibri" w:cs="Calibri" w:eastAsia="Calibri" w:hAnsi="Calibri"/>
          <w:b/>
          <w:bCs/>
          <w:i w:val="false"/>
          <w:iCs w:val="false"/>
          <w:sz w:val="21"/>
          <w:szCs w:val="21"/>
        </w:rPr>
        <w:t xml:space="preserve">Orden HFP/311/2023</w:t>
      </w:r>
      <w:r>
        <w:rPr>
          <w:rFonts w:ascii="Calibri" w:cs="Calibri" w:eastAsia="Calibri" w:hAnsi="Calibri"/>
          <w:b w:val="false"/>
          <w:bCs w:val="false"/>
          <w:i w:val="false"/>
          <w:iCs w:val="false"/>
          <w:sz w:val="21"/>
          <w:szCs w:val="21"/>
        </w:rPr>
        <w:t xml:space="preserve">: elevación a </w:t>
      </w:r>
      <w:r>
        <w:rPr>
          <w:rFonts w:ascii="Calibri" w:cs="Calibri" w:eastAsia="Calibri" w:hAnsi="Calibri"/>
          <w:b/>
          <w:bCs/>
          <w:i w:val="false"/>
          <w:iCs w:val="false"/>
          <w:sz w:val="21"/>
          <w:szCs w:val="21"/>
        </w:rPr>
        <w:t xml:space="preserve">50.000 €</w:t>
      </w:r>
      <w:r>
        <w:rPr>
          <w:rFonts w:ascii="Calibri" w:cs="Calibri" w:eastAsia="Calibri" w:hAnsi="Calibri"/>
          <w:b w:val="false"/>
          <w:bCs w:val="false"/>
          <w:i w:val="false"/>
          <w:iCs w:val="false"/>
          <w:sz w:val="21"/>
          <w:szCs w:val="21"/>
        </w:rPr>
        <w:t xml:space="preserve"> del límite exento de garantías en aplazamientos y fraccionamientos de deudas gestionadas por la AEAT.</w:t>
      </w:r>
    </w:p>
    <w:p>
      <w:pPr>
        <w:pStyle w:val="ListParagraph"/>
        <w:numPr>
          <w:ilvl w:val="0"/>
          <w:numId w:val="3"/>
        </w:numPr>
        <w:spacing w:after="70" w:line="264"/>
        <w:jc w:val="both"/>
      </w:pPr>
      <w:r>
        <w:rPr>
          <w:rFonts w:ascii="Calibri" w:cs="Calibri" w:eastAsia="Calibri" w:hAnsi="Calibri"/>
          <w:b/>
          <w:bCs/>
          <w:i w:val="false"/>
          <w:iCs w:val="false"/>
          <w:sz w:val="21"/>
          <w:szCs w:val="21"/>
        </w:rPr>
        <w:t xml:space="preserve">Ley 37/1992 del IVA, artículo 80.Cuatro</w:t>
      </w:r>
      <w:r>
        <w:rPr>
          <w:rFonts w:ascii="Calibri" w:cs="Calibri" w:eastAsia="Calibri" w:hAnsi="Calibri"/>
          <w:b w:val="false"/>
          <w:bCs w:val="false"/>
          <w:i w:val="false"/>
          <w:iCs w:val="false"/>
          <w:sz w:val="21"/>
          <w:szCs w:val="21"/>
        </w:rPr>
        <w:t xml:space="preserve">, en la redacción dada por la </w:t>
      </w:r>
      <w:r>
        <w:rPr>
          <w:rFonts w:ascii="Calibri" w:cs="Calibri" w:eastAsia="Calibri" w:hAnsi="Calibri"/>
          <w:b/>
          <w:bCs/>
          <w:i w:val="false"/>
          <w:iCs w:val="false"/>
          <w:sz w:val="21"/>
          <w:szCs w:val="21"/>
        </w:rPr>
        <w:t xml:space="preserve">Ley 31/2022</w:t>
      </w:r>
      <w:r>
        <w:rPr>
          <w:rFonts w:ascii="Calibri" w:cs="Calibri" w:eastAsia="Calibri" w:hAnsi="Calibri"/>
          <w:b w:val="false"/>
          <w:bCs w:val="false"/>
          <w:i w:val="false"/>
          <w:iCs w:val="false"/>
          <w:sz w:val="21"/>
          <w:szCs w:val="21"/>
        </w:rPr>
        <w:t xml:space="preserve">: modificación de la base imponible por créditos incobrables (plazo de 6 meses o 1 año, importe mínimo de 50 €, reclamación por cualquier medio fehaciente y 6 meses para la rectificativa).</w:t>
      </w:r>
    </w:p>
    <w:p>
      <w:pPr>
        <w:pStyle w:val="ListParagraph"/>
        <w:numPr>
          <w:ilvl w:val="0"/>
          <w:numId w:val="3"/>
        </w:numPr>
        <w:spacing w:after="70" w:line="264"/>
        <w:jc w:val="both"/>
      </w:pPr>
      <w:r>
        <w:rPr>
          <w:rFonts w:ascii="Calibri" w:cs="Calibri" w:eastAsia="Calibri" w:hAnsi="Calibri"/>
          <w:b/>
          <w:bCs/>
          <w:i w:val="false"/>
          <w:iCs w:val="false"/>
          <w:sz w:val="21"/>
          <w:szCs w:val="21"/>
        </w:rPr>
        <w:t xml:space="preserve">Reales Decretos-leyes 7/2026 y 18/2026</w:t>
      </w:r>
      <w:r>
        <w:rPr>
          <w:rFonts w:ascii="Calibri" w:cs="Calibri" w:eastAsia="Calibri" w:hAnsi="Calibri"/>
          <w:b w:val="false"/>
          <w:bCs w:val="false"/>
          <w:i w:val="false"/>
          <w:iCs w:val="false"/>
          <w:sz w:val="21"/>
          <w:szCs w:val="21"/>
        </w:rPr>
        <w:t xml:space="preserve">: medidas tributarias sobre el Impuesto sobre Hidrocarburos y ayudas al transporte por carretera durante 2026. Importes y plazos deben confirmarse en la sede electrónica de la AEAT.</w:t>
      </w:r>
    </w:p>
    <w:p>
      <w:pPr>
        <w:pStyle w:val="ListParagraph"/>
        <w:numPr>
          <w:ilvl w:val="0"/>
          <w:numId w:val="3"/>
        </w:numPr>
        <w:spacing w:after="70" w:line="264"/>
        <w:jc w:val="both"/>
      </w:pPr>
      <w:r>
        <w:rPr>
          <w:rFonts w:ascii="Calibri" w:cs="Calibri" w:eastAsia="Calibri" w:hAnsi="Calibri"/>
          <w:b/>
          <w:bCs/>
          <w:i w:val="false"/>
          <w:iCs w:val="false"/>
          <w:sz w:val="21"/>
          <w:szCs w:val="21"/>
        </w:rPr>
        <w:t xml:space="preserve">Real Decreto Legislativo 1/2010, Ley de Sociedades de Capital</w:t>
      </w:r>
      <w:r>
        <w:rPr>
          <w:rFonts w:ascii="Calibri" w:cs="Calibri" w:eastAsia="Calibri" w:hAnsi="Calibri"/>
          <w:b w:val="false"/>
          <w:bCs w:val="false"/>
          <w:i w:val="false"/>
          <w:iCs w:val="false"/>
          <w:sz w:val="21"/>
          <w:szCs w:val="21"/>
        </w:rPr>
        <w:t xml:space="preserve">, artículos 363.1.e) y 367: causa de disolución por pérdidas y responsabilidad solidaria del administrador.</w:t>
      </w:r>
    </w:p>
    <w:p>
      <w:pPr>
        <w:pStyle w:val="ListParagraph"/>
        <w:numPr>
          <w:ilvl w:val="0"/>
          <w:numId w:val="3"/>
        </w:numPr>
        <w:spacing w:after="70" w:line="264"/>
        <w:jc w:val="both"/>
      </w:pPr>
      <w:r>
        <w:rPr>
          <w:rFonts w:ascii="Calibri" w:cs="Calibri" w:eastAsia="Calibri" w:hAnsi="Calibri"/>
          <w:b/>
          <w:bCs/>
          <w:i w:val="false"/>
          <w:iCs w:val="false"/>
          <w:sz w:val="21"/>
          <w:szCs w:val="21"/>
        </w:rPr>
        <w:t xml:space="preserve">Real Decreto Legislativo 1/2020, Texto Refundido de la Ley Concursal</w:t>
      </w:r>
      <w:r>
        <w:rPr>
          <w:rFonts w:ascii="Calibri" w:cs="Calibri" w:eastAsia="Calibri" w:hAnsi="Calibri"/>
          <w:b w:val="false"/>
          <w:bCs w:val="false"/>
          <w:i w:val="false"/>
          <w:iCs w:val="false"/>
          <w:sz w:val="21"/>
          <w:szCs w:val="21"/>
        </w:rPr>
        <w:t xml:space="preserve">, reformado por la </w:t>
      </w:r>
      <w:r>
        <w:rPr>
          <w:rFonts w:ascii="Calibri" w:cs="Calibri" w:eastAsia="Calibri" w:hAnsi="Calibri"/>
          <w:b/>
          <w:bCs/>
          <w:i w:val="false"/>
          <w:iCs w:val="false"/>
          <w:sz w:val="21"/>
          <w:szCs w:val="21"/>
        </w:rPr>
        <w:t xml:space="preserve">Ley 16/2022</w:t>
      </w:r>
      <w:r>
        <w:rPr>
          <w:rFonts w:ascii="Calibri" w:cs="Calibri" w:eastAsia="Calibri" w:hAnsi="Calibri"/>
          <w:b w:val="false"/>
          <w:bCs w:val="false"/>
          <w:i w:val="false"/>
          <w:iCs w:val="false"/>
          <w:sz w:val="21"/>
          <w:szCs w:val="21"/>
        </w:rPr>
        <w:t xml:space="preserve">: deber de solicitud de concurso, comunicación de apertura de negociaciones (artículos 585 y siguientes), planes de reestructuración y procedimiento especial para microempresas.</w:t>
      </w:r>
    </w:p>
    <w:p>
      <w:pPr>
        <w:spacing w:after="240"/>
      </w:pPr>
    </w:p>
    <w:p>
      <w:pPr>
        <w:spacing w:after="120" w:line="264"/>
        <w:jc w:val="center"/>
      </w:pPr>
      <w:r>
        <w:rPr>
          <w:rFonts w:ascii="Calibri" w:cs="Calibri" w:eastAsia="Calibri" w:hAnsi="Calibri"/>
          <w:b w:val="false"/>
          <w:bCs w:val="false"/>
          <w:i/>
          <w:iCs/>
          <w:sz w:val="18"/>
          <w:szCs w:val="18"/>
        </w:rPr>
        <w:t xml:space="preserve">Documento interno de Transportes Araya. Elaborado por el Departamento de Administración con criterios de asesoramiento fiscal y contable. Carácter orientativo: las decisiones fiscales, laborales y concursales deben validarse con la asesoría de la empresa y, en su caso, con un abogado mercantil.</w:t>
      </w:r>
    </w:p>
    <w:sectPr>
      <w:headerReference w:type="default" r:id="rId7"/>
      <w:footerReference w:type="default" r:id="rId8"/>
      <w:pgSz w:w="11906" w:h="16838" w:orient="portrait"/>
      <w:pgMar w:top="1250" w:right="1134" w:bottom="1250" w:left="1134" w:header="620" w:footer="6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Documento interno y confidencial          </w:t>
    </w:r>
    <w:r>
      <w:rPr>
        <w:rFonts w:ascii="Calibri" w:cs="Calibri" w:eastAsia="Calibri" w:hAnsi="Calibri"/>
        <w:color w:val="808080"/>
        <w:sz w:val="16"/>
        <w:szCs w:val="16"/>
      </w:rPr>
      <w:fldChar w:fldCharType="begin"/>
      <w:instrText xml:space="preserve">PAGE</w:instrText>
      <w:fldChar w:fldCharType="separate"/>
      <w:fldChar w:fldCharType="end"/>
    </w:r>
    <w:r>
      <w:rPr>
        <w:rFonts w:ascii="Calibri" w:cs="Calibri" w:eastAsia="Calibri" w:hAnsi="Calibri"/>
        <w:color w:val="808080"/>
        <w:sz w:val="16"/>
        <w:szCs w:val="16"/>
      </w:rPr>
      <w:t xml:space="preserve"> / </w:t>
    </w:r>
    <w:r>
      <w:rPr>
        <w:rFonts w:ascii="Calibri" w:cs="Calibri" w:eastAsia="Calibri" w:hAnsi="Calibri"/>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jc w:val="right"/>
    </w:pPr>
    <w:r>
      <w:rPr>
        <w:rFonts w:ascii="Calibri" w:cs="Calibri" w:eastAsia="Calibri" w:hAnsi="Calibri"/>
        <w:color w:val="808080"/>
        <w:sz w:val="16"/>
        <w:szCs w:val="16"/>
      </w:rPr>
      <w:t xml:space="preserve">Transportes Araya · Plan de previsión y priorización de pagos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rPr>
        <w:color w:val="2E74B5"/>
      </w:rPr>
    </w:lvl>
  </w:abstractNum>
  <w:abstractNum w:abstractNumId="3" w15:restartNumberingAfterBreak="0">
    <w:multiLevelType w:val="hybridMultilevel"/>
    <w:lvl w:ilvl="0" w15:tentative="1">
      <w:start w:val="1"/>
      <w:numFmt w:val="decimal"/>
      <w:lvlText w:val="%1."/>
      <w:lvlJc w:val="left"/>
      <w:pPr>
        <w:ind w:left="460" w:hanging="280"/>
      </w:pPr>
      <w:rPr>
        <w:b/>
        <w:bCs/>
        <w:color w:val="2E74B5"/>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rPr>
  </w:style>
  <w:style w:type="paragraph" w:styleId="Heading2">
    <w:name w:val="Heading 2"/>
    <w:basedOn w:val="Normal"/>
    <w:next w:val="Normal"/>
    <w:qFormat/>
    <w:rPr>
      <w:rFonts w:ascii="Calibri" w:cs="Calibri" w:eastAsia="Calibri" w:hAnsi="Calibri"/>
    </w:rPr>
  </w:style>
  <w:style w:type="paragraph" w:styleId="Heading3">
    <w:name w:val="Heading 3"/>
    <w:basedOn w:val="Normal"/>
    <w:next w:val="Normal"/>
    <w:qFormat/>
    <w:rPr>
      <w:rFonts w:ascii="Calibri" w:cs="Calibri" w:eastAsia="Calibri" w:hAnsi="Calibri"/>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previsión y priorización de pagos — Transportes Araya</dc:title>
  <dc:creator>Transportes Araya — Departamento de Administración</dc:creator>
  <dc:description>Diagnóstico económico-financiero y hoja de ruta de tesorería</dc:description>
  <cp:lastModifiedBy>Un-named</cp:lastModifiedBy>
  <cp:revision>1</cp:revision>
  <dcterms:created xsi:type="dcterms:W3CDTF">2026-09-16T17:17:19.589Z</dcterms:created>
  <dcterms:modified xsi:type="dcterms:W3CDTF">2026-09-16T17:17:19.589Z</dcterms:modified>
</cp:coreProperties>
</file>

<file path=docProps/custom.xml><?xml version="1.0" encoding="utf-8"?>
<Properties xmlns="http://schemas.openxmlformats.org/officeDocument/2006/custom-properties" xmlns:vt="http://schemas.openxmlformats.org/officeDocument/2006/docPropsVTypes"/>
</file>