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sz w:val="44"/>
        </w:rPr>
        <w:t>Enes Yurek</w:t>
      </w:r>
    </w:p>
    <w:p>
      <w:pPr>
        <w:spacing w:before="0" w:after="80"/>
      </w:pPr>
      <w:r>
        <w:rPr>
          <w:color w:val="505050"/>
          <w:sz w:val="18"/>
        </w:rPr>
        <w:t>enesyurekwaw@gmail.com  |  +48 792 285 315  |  Warsaw, Poland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b/>
          <w:sz w:val="26"/>
        </w:rPr>
        <w:t>&lt;&lt;PROFESSIONAL_TITLE&gt;&gt;</w:t>
      </w:r>
    </w:p>
    <w:p>
      <w:pPr>
        <w:spacing w:before="40" w:after="80"/>
      </w:pPr>
      <w:r>
        <w:rPr>
          <w:sz w:val="20"/>
        </w:rPr>
        <w:t>&lt;&lt;PROFILE_SUMMARY&gt;&gt;</w:t>
      </w:r>
    </w:p>
    <w:p>
      <w:pPr>
        <w:spacing w:before="20" w:after="20"/>
      </w:pPr>
      <w:r>
        <w:rPr>
          <w:i/>
          <w:sz w:val="18"/>
        </w:rPr>
        <w:t>Authorized to work in Poland.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  <w:r>
        <w:rPr>
          <w:b/>
          <w:color w:val="B40000"/>
          <w:sz w:val="24"/>
        </w:rPr>
        <w:t>WORK EXPERIENCE</w:t>
      </w:r>
    </w:p>
    <w:p>
      <w:pPr>
        <w:spacing w:before="120" w:after="40"/>
      </w:pPr>
      <w:r>
        <w:rPr>
          <w:b/>
          <w:sz w:val="22"/>
        </w:rPr>
        <w:t>Digital Strategy Manager | Senior Global Marketing Analyst | AVP</w:t>
      </w:r>
    </w:p>
    <w:p>
      <w:pPr>
        <w:spacing w:before="20" w:after="20"/>
      </w:pPr>
      <w:r>
        <w:rPr>
          <w:i/>
          <w:sz w:val="18"/>
        </w:rPr>
        <w:t>Citi  |  March 2025 – Present  |  Warsaw, Poland</w:t>
      </w:r>
    </w:p>
    <w:p>
      <w:pPr>
        <w:pStyle w:val="ListBullet"/>
        <w:spacing w:before="20" w:after="20"/>
      </w:pPr>
      <w:r>
        <w:rPr>
          <w:sz w:val="20"/>
        </w:rPr>
        <w:t>&lt;&lt;KEY_ACHIEVEMENT_1&gt;&gt;</w:t>
      </w:r>
    </w:p>
    <w:p>
      <w:pPr>
        <w:pStyle w:val="ListBullet"/>
        <w:spacing w:before="20" w:after="20"/>
      </w:pPr>
      <w:r>
        <w:rPr>
          <w:sz w:val="20"/>
        </w:rPr>
        <w:t>&lt;&lt;KEY_ACHIEVEMENT_2&gt;&gt;</w:t>
      </w:r>
    </w:p>
    <w:p>
      <w:pPr>
        <w:pStyle w:val="ListBullet"/>
        <w:spacing w:before="20" w:after="20"/>
      </w:pPr>
      <w:r>
        <w:rPr>
          <w:sz w:val="20"/>
        </w:rPr>
        <w:t>&lt;&lt;KEY_ACHIEVEMENT_3&gt;&gt;</w:t>
      </w:r>
    </w:p>
    <w:p>
      <w:pPr>
        <w:pStyle w:val="ListBullet"/>
        <w:spacing w:before="20" w:after="20"/>
      </w:pPr>
      <w:r>
        <w:rPr>
          <w:sz w:val="20"/>
        </w:rPr>
        <w:t>Executing global digital strategy across full-funnel paid media, including search, social, programmatic, display, and video, managing $XXM budget (NA, EMEA, &amp; APAC) and driving ROI growth.</w:t>
      </w:r>
    </w:p>
    <w:p>
      <w:pPr>
        <w:pStyle w:val="ListBullet"/>
        <w:spacing w:before="20" w:after="20"/>
      </w:pPr>
      <w:r>
        <w:rPr>
          <w:sz w:val="20"/>
        </w:rPr>
        <w:t>Partnering with cross-functional teams and media agencies to define audiences, oversee campaign setup, reporting, and optimize media spend, ensuring operational excellence and alignment with business priorities.</w:t>
      </w:r>
    </w:p>
    <w:p>
      <w:pPr>
        <w:pStyle w:val="ListBullet"/>
        <w:spacing w:before="20" w:after="20"/>
      </w:pPr>
      <w:r>
        <w:rPr>
          <w:sz w:val="20"/>
        </w:rPr>
        <w:t>Leading +14 EMEA job boards and managing +30 media partner relationships, analyzing performance data to guide strategic decisions and ensuring operational excellence.</w:t>
      </w:r>
    </w:p>
    <w:p>
      <w:pPr>
        <w:pStyle w:val="ListBullet"/>
        <w:spacing w:before="20" w:after="20"/>
      </w:pPr>
      <w:r>
        <w:rPr>
          <w:sz w:val="20"/>
        </w:rPr>
        <w:t>Identifying market trends and competitor actions through AI-driven analysis to support proactive, data-driven marketing strategies, and resulting increase in visibility.</w:t>
      </w:r>
    </w:p>
    <w:p>
      <w:pPr>
        <w:pStyle w:val="ListBullet"/>
        <w:spacing w:before="20" w:after="20"/>
      </w:pPr>
      <w:r>
        <w:rPr>
          <w:sz w:val="20"/>
        </w:rPr>
        <w:t>Continuously testing innovative digital channels and formats, leveraging advanced analytics and AI tools, and applying creative problem-solving to optimize workflows, reducing process time.</w:t>
      </w:r>
    </w:p>
    <w:p>
      <w:pPr>
        <w:spacing w:before="120" w:after="40"/>
      </w:pPr>
      <w:r>
        <w:rPr>
          <w:b/>
          <w:sz w:val="22"/>
        </w:rPr>
        <w:t>SEA Specialist | Ads Consultant</w:t>
      </w:r>
    </w:p>
    <w:p>
      <w:pPr>
        <w:spacing w:before="20" w:after="20"/>
      </w:pPr>
      <w:r>
        <w:rPr>
          <w:i/>
          <w:sz w:val="18"/>
        </w:rPr>
        <w:t>Ingersoll Rand  |  March 2023 – February 2025  |  Warsaw, Poland</w:t>
      </w:r>
    </w:p>
    <w:p>
      <w:pPr>
        <w:pStyle w:val="ListBullet"/>
        <w:spacing w:before="20" w:after="20"/>
      </w:pPr>
      <w:r>
        <w:rPr>
          <w:sz w:val="20"/>
        </w:rPr>
        <w:t>Building, managing &amp; optimizing over $4 million in ad spend for Google, LinkedIn &amp; Bing, driving multi-channel campaign success with data-driven B2B &amp; B2C strategies, exceed MQL targets by +32% YoY.</w:t>
      </w:r>
    </w:p>
    <w:p>
      <w:pPr>
        <w:pStyle w:val="ListBullet"/>
        <w:spacing w:before="20" w:after="20"/>
      </w:pPr>
      <w:r>
        <w:rPr>
          <w:sz w:val="20"/>
        </w:rPr>
        <w:t>Leading weekly &amp; monthly meetings, analyzing GA4 and campaign performances, actionable insights leading conversions by +125% and maximize ROI in 2023.</w:t>
      </w:r>
    </w:p>
    <w:p>
      <w:pPr>
        <w:pStyle w:val="ListBullet"/>
        <w:spacing w:before="20" w:after="20"/>
      </w:pPr>
      <w:r>
        <w:rPr>
          <w:sz w:val="20"/>
        </w:rPr>
        <w:t>Coordinating daily ad operations for NA, EMEAI, LATAM, and APAC, resolving stakeholder challenges, and ensuring 95% on-time, high-quality B2B and B2C campaign execution.</w:t>
      </w:r>
    </w:p>
    <w:p>
      <w:pPr>
        <w:pStyle w:val="ListBullet"/>
        <w:spacing w:before="20" w:after="20"/>
      </w:pPr>
      <w:r>
        <w:rPr>
          <w:sz w:val="20"/>
        </w:rPr>
        <w:t>Collaborating with over +17 teams, building strong relationships to gather requirements, accelerating development and overcoming blockers for successful project outcomes.</w:t>
      </w:r>
    </w:p>
    <w:p>
      <w:pPr>
        <w:pStyle w:val="ListBullet"/>
        <w:spacing w:before="20" w:after="20"/>
      </w:pPr>
      <w:r>
        <w:rPr>
          <w:sz w:val="20"/>
        </w:rPr>
        <w:t>Managing projects focused on regional business goals, conducting in-depth keyword &amp; market research, A/B testing, and trend analyses to identify opportunities for seamless execution.</w:t>
      </w:r>
    </w:p>
    <w:p>
      <w:pPr>
        <w:spacing w:before="120" w:after="40"/>
      </w:pPr>
      <w:r>
        <w:rPr>
          <w:b/>
          <w:sz w:val="22"/>
        </w:rPr>
        <w:t>Operation Analyst</w:t>
      </w:r>
    </w:p>
    <w:p>
      <w:pPr>
        <w:spacing w:before="20" w:after="20"/>
      </w:pPr>
      <w:r>
        <w:rPr>
          <w:i/>
          <w:sz w:val="18"/>
        </w:rPr>
        <w:t>Goldman Sachs  |  May 2022 – August 2022  |  Warsaw, Poland</w:t>
      </w:r>
    </w:p>
    <w:p>
      <w:pPr>
        <w:pStyle w:val="ListBullet"/>
        <w:spacing w:before="20" w:after="20"/>
      </w:pPr>
      <w:r>
        <w:rPr>
          <w:sz w:val="20"/>
        </w:rPr>
        <w:t>Maximized business value for clients FX settlements with max. $700M budget and establishing what can be delivered and the viability of solutions.</w:t>
      </w:r>
    </w:p>
    <w:p>
      <w:pPr>
        <w:pStyle w:val="ListBullet"/>
        <w:spacing w:before="20" w:after="20"/>
      </w:pPr>
      <w:r>
        <w:rPr>
          <w:sz w:val="20"/>
        </w:rPr>
        <w:t>Demonstrated strong attention to detail and ability to work under pressure while meeting strict timelines.</w:t>
      </w:r>
    </w:p>
    <w:p>
      <w:pPr>
        <w:pStyle w:val="ListBullet"/>
        <w:spacing w:before="20" w:after="20"/>
      </w:pPr>
      <w:r>
        <w:rPr>
          <w:sz w:val="20"/>
        </w:rPr>
        <w:t>Monitored and assured over 120 clients in FX settlements (including handover time) on a daily basis, against agreed deadlines to ensure accurate FX.</w:t>
      </w:r>
    </w:p>
    <w:p>
      <w:pPr>
        <w:spacing w:before="120" w:after="40"/>
      </w:pPr>
      <w:r>
        <w:rPr>
          <w:b/>
          <w:sz w:val="22"/>
        </w:rPr>
        <w:t>Ads Operations Specialist | Project Executive</w:t>
      </w:r>
    </w:p>
    <w:p>
      <w:pPr>
        <w:spacing w:before="20" w:after="20"/>
      </w:pPr>
      <w:r>
        <w:rPr>
          <w:i/>
          <w:sz w:val="18"/>
        </w:rPr>
        <w:t>Huawei  |  June 2021 – May 2022  |  Warsaw, Poland</w:t>
      </w:r>
    </w:p>
    <w:p>
      <w:pPr>
        <w:pStyle w:val="ListBullet"/>
        <w:spacing w:before="20" w:after="20"/>
      </w:pPr>
      <w:r>
        <w:rPr>
          <w:sz w:val="20"/>
        </w:rPr>
        <w:t>Served as the point of contact for EMEA, executed strategic tailored campaigns and collaborated with APAC teams, achieving a +30% KPIs increase compared to 2020.</w:t>
      </w:r>
    </w:p>
    <w:p>
      <w:pPr>
        <w:pStyle w:val="ListBullet"/>
        <w:spacing w:before="20" w:after="20"/>
      </w:pPr>
      <w:r>
        <w:rPr>
          <w:sz w:val="20"/>
        </w:rPr>
        <w:t>Prepared and improved existing Huawei ads guidelines based on feedback and quality/efficiency metrics, conducted risk assessments, and implemented strategies to mitigate potential project delays or issues.</w:t>
      </w:r>
    </w:p>
    <w:p>
      <w:pPr>
        <w:pStyle w:val="ListBullet"/>
        <w:spacing w:before="20" w:after="20"/>
      </w:pPr>
      <w:r>
        <w:rPr>
          <w:sz w:val="20"/>
        </w:rPr>
        <w:t>Developed processes for continuous business improvements, planning, prioritizing, implementing, and tracking the delivery of various elements of business improvement projects.</w:t>
      </w:r>
    </w:p>
    <w:p>
      <w:pPr>
        <w:spacing w:before="120" w:after="40"/>
      </w:pPr>
      <w:r>
        <w:rPr>
          <w:b/>
          <w:sz w:val="22"/>
        </w:rPr>
        <w:t>Google Account Strategist</w:t>
      </w:r>
    </w:p>
    <w:p>
      <w:pPr>
        <w:spacing w:before="20" w:after="20"/>
      </w:pPr>
      <w:r>
        <w:rPr>
          <w:i/>
          <w:sz w:val="18"/>
        </w:rPr>
        <w:t>Arteria G-Partner (Supporting Google)  |  March 2019 – May 2021  |  Warsaw, Poland</w:t>
      </w:r>
    </w:p>
    <w:p>
      <w:pPr>
        <w:pStyle w:val="ListBullet"/>
        <w:spacing w:before="20" w:after="20"/>
      </w:pPr>
      <w:r>
        <w:rPr>
          <w:sz w:val="20"/>
        </w:rPr>
        <w:t>Partnered with the mid-market sales team and acted as a strategic advisor for a portfolio of 250 clients managing $3M in ad spend.</w:t>
      </w:r>
    </w:p>
    <w:p>
      <w:pPr>
        <w:pStyle w:val="ListBullet"/>
        <w:spacing w:before="20" w:after="20"/>
      </w:pPr>
      <w:r>
        <w:rPr>
          <w:sz w:val="20"/>
        </w:rPr>
        <w:t>Developed and maintained relationships with up to 250 clients quarterly across diverse industries, optimizing Google Ads solutions for maximum impact.</w:t>
      </w:r>
    </w:p>
    <w:p>
      <w:pPr>
        <w:pStyle w:val="ListBullet"/>
        <w:spacing w:before="20" w:after="20"/>
      </w:pPr>
      <w:r>
        <w:rPr>
          <w:sz w:val="20"/>
        </w:rPr>
        <w:t>Presented data-driven recommendations to clients, fostering strong relationships and driving account growth and performance across Google products like Search, Display, Shopping, UAC, and YouTube.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b/>
          <w:color w:val="B40000"/>
          <w:sz w:val="24"/>
        </w:rPr>
        <w:t>SKILLS</w:t>
      </w:r>
    </w:p>
    <w:p>
      <w:pPr>
        <w:spacing w:before="20" w:after="20"/>
      </w:pPr>
      <w:r>
        <w:rPr>
          <w:i w:val="0"/>
          <w:sz w:val="18"/>
        </w:rPr>
        <w:t>Google Ads  |  LinkedIn Ads  |  Bing Ads  |  Paid Media Strategy  |  Media Spend Optimization  |  Marketing Strategy  |  Performance Marketing  |  Data Analysis and Interpretation  |  Planning Budgeting &amp; Forecasting  |  Stakeholder Management  |  Creative Problem-Solving  |  Account Management  |  Google Tag Manager  |  Google &amp; MS Editors  |  Google Analytics 4  |  Adobe Workfront  |  Salesforce  |  SEMrush  |  Jira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b/>
          <w:color w:val="B40000"/>
          <w:sz w:val="24"/>
        </w:rPr>
        <w:t>EDUCATION</w:t>
      </w:r>
    </w:p>
    <w:p>
      <w:pPr>
        <w:spacing w:before="40" w:after="20"/>
      </w:pPr>
      <w:r>
        <w:rPr>
          <w:b/>
          <w:sz w:val="22"/>
        </w:rPr>
        <w:t>International Relations</w:t>
      </w:r>
    </w:p>
    <w:p>
      <w:pPr>
        <w:spacing w:before="20" w:after="20"/>
      </w:pPr>
      <w:r>
        <w:rPr>
          <w:i/>
          <w:sz w:val="18"/>
        </w:rPr>
        <w:t>University of Warsaw  |  October 2016 – July 2019  |  Bachelor's Degree – Graduated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b/>
          <w:color w:val="B40000"/>
          <w:sz w:val="24"/>
        </w:rPr>
        <w:t>CERTIFICATES</w:t>
      </w:r>
    </w:p>
    <w:p>
      <w:pPr>
        <w:spacing w:before="20" w:after="20"/>
      </w:pPr>
      <w:r>
        <w:rPr>
          <w:i w:val="0"/>
          <w:sz w:val="18"/>
        </w:rPr>
        <w:t>• McKinsey &amp; Company — Forward Program</w:t>
      </w:r>
    </w:p>
    <w:p>
      <w:pPr>
        <w:spacing w:before="20" w:after="20"/>
      </w:pPr>
      <w:r>
        <w:rPr>
          <w:i w:val="0"/>
          <w:sz w:val="18"/>
        </w:rPr>
        <w:t>• Management &amp; Strategy Institute — Business Management Essentials Certified (BMEC)</w:t>
      </w:r>
    </w:p>
    <w:p>
      <w:pPr>
        <w:spacing w:before="20" w:after="20"/>
      </w:pPr>
      <w:r>
        <w:rPr>
          <w:i w:val="0"/>
          <w:sz w:val="18"/>
        </w:rPr>
        <w:t>• Management &amp; Strategy Institute — Project Management Essentials Certified (PMEC)</w:t>
      </w:r>
    </w:p>
    <w:p>
      <w:pPr>
        <w:spacing w:before="20" w:after="20"/>
      </w:pPr>
      <w:r>
        <w:rPr>
          <w:i w:val="0"/>
          <w:sz w:val="18"/>
        </w:rPr>
        <w:t>• Google Ads (Search, Display, Video, UAC, Shopping, Fundamentals, Measurement, GA4)</w:t>
      </w:r>
    </w:p>
    <w:p>
      <w:pPr>
        <w:spacing w:before="20" w:after="20"/>
      </w:pPr>
      <w:r>
        <w:rPr>
          <w:i w:val="0"/>
          <w:sz w:val="18"/>
        </w:rPr>
        <w:t>• University of Toronto — Communication Strategies for Virtual Age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b/>
          <w:color w:val="B40000"/>
          <w:sz w:val="24"/>
        </w:rPr>
        <w:t>LANGUAGES</w:t>
      </w:r>
    </w:p>
    <w:p>
      <w:pPr>
        <w:spacing w:before="20" w:after="20"/>
      </w:pPr>
      <w:r>
        <w:rPr>
          <w:i w:val="0"/>
          <w:sz w:val="18"/>
        </w:rPr>
        <w:t>English: Advanced  |  Turkish: Native  |  Polish: Intermediate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