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40" w:line="360"/>
        <w:jc w:val="center"/>
      </w:pPr>
      <w:r>
        <w:rPr>
          <w:rFonts w:ascii="Times New Roman" w:cs="Times New Roman" w:eastAsia="Times New Roman" w:hAnsi="Times New Roman"/>
          <w:b/>
          <w:bCs/>
          <w:sz w:val="28"/>
          <w:szCs w:val="28"/>
        </w:rPr>
        <w:t xml:space="preserve">3. ПРИЗНАКОВОЕ ПРОСТРАНСТВО</w:t>
      </w:r>
    </w:p>
    <w:p>
      <w:pPr>
        <w:pStyle w:val="Heading2"/>
        <w:spacing w:after="80" w:before="200" w:line="360"/>
        <w:ind w:firstLine="0"/>
        <w:jc w:val="left"/>
      </w:pPr>
      <w:r>
        <w:rPr>
          <w:rFonts w:ascii="Times New Roman" w:cs="Times New Roman" w:eastAsia="Times New Roman" w:hAnsi="Times New Roman"/>
          <w:b/>
          <w:bCs/>
          <w:sz w:val="28"/>
          <w:szCs w:val="28"/>
        </w:rPr>
        <w:t xml:space="preserve">3.1. Обзор признакового пространства</w:t>
      </w:r>
    </w:p>
    <w:p>
      <w:pPr>
        <w:spacing w:after="0" w:before="0" w:line="360"/>
        <w:ind w:firstLine="720"/>
        <w:jc w:val="both"/>
      </w:pPr>
      <w:r>
        <w:rPr>
          <w:rFonts w:ascii="Times New Roman" w:cs="Times New Roman" w:eastAsia="Times New Roman" w:hAnsi="Times New Roman"/>
          <w:b w:val="false"/>
          <w:bCs w:val="false"/>
          <w:i w:val="false"/>
          <w:iCs w:val="false"/>
          <w:sz w:val="28"/>
          <w:szCs w:val="28"/>
        </w:rPr>
        <w:t xml:space="preserve">Признаковое пространство системы содержит 43 признака, организованных в три слоя: лёгкие признаки (27 штук), вычисляемые без использования специализированных нейросетевых моделей; тяжёлые признаки (6 штук), требующие предобученных языковых моделей; производные признаки (10 штук), представляющие нелинейные комбинации первых двух слоёв. Порядок признаков в векторе фиксирован и одинаков на этапах обучения и применения модели, что исключает рассогласование.</w:t>
      </w:r>
    </w:p>
    <w:p>
      <w:pPr>
        <w:spacing w:after="0" w:before="0" w:line="360"/>
        <w:ind w:firstLine="720"/>
        <w:jc w:val="both"/>
      </w:pPr>
      <w:r>
        <w:rPr>
          <w:rFonts w:ascii="Times New Roman" w:cs="Times New Roman" w:eastAsia="Times New Roman" w:hAnsi="Times New Roman"/>
          <w:b w:val="false"/>
          <w:bCs w:val="false"/>
          <w:i w:val="false"/>
          <w:iCs w:val="false"/>
          <w:sz w:val="28"/>
          <w:szCs w:val="28"/>
        </w:rPr>
        <w:t xml:space="preserve">Для вычисления лёгких признаков используются две библиотеки. Библиотека spaCy (версия 3.x, разработана компанией Explosion AI) предоставляет токенизацию, лемматизацию, морфологический разбор, синтаксический разбор зависимостей и распознавание именованных сущностей. Применяются модели ru_core_news_sm (русский язык, обучена на новостных корпусах) и en_core_web_sm (английский язык, используется только для распознавания именованных сущностей). Морфологический анализатор pymorphy3 (развитие проекта pymorphy2) дополняет spaCy детальным разбором русских словоформ с вероятностными оценками каждого варианта разбора, основанными на частотности в корпусах.</w:t>
      </w:r>
    </w:p>
    <w:p>
      <w:pPr>
        <w:spacing w:after="0" w:before="0" w:line="360"/>
        <w:ind w:firstLine="720"/>
        <w:jc w:val="both"/>
      </w:pPr>
      <w:r>
        <w:rPr>
          <w:rFonts w:ascii="Times New Roman" w:cs="Times New Roman" w:eastAsia="Times New Roman" w:hAnsi="Times New Roman"/>
          <w:b w:val="false"/>
          <w:bCs w:val="false"/>
          <w:i w:val="false"/>
          <w:iCs w:val="false"/>
          <w:sz w:val="28"/>
          <w:szCs w:val="28"/>
        </w:rPr>
        <w:t xml:space="preserve">Тяжёлые признаки вычисляются с помощью двух нейросетевых моделей, описанных в разделах 3.4 и 3.5. Производные признаки рассчитываются аналитически из базовых и не требуют дополнительных инструментов.</w:t>
      </w:r>
    </w:p>
    <w:p>
      <w:pPr>
        <w:spacing w:after="0" w:before="0" w:line="360"/>
      </w:pPr>
      <w:r>
        <w:rPr>
          <w:rFonts w:ascii="Times New Roman" w:cs="Times New Roman" w:eastAsia="Times New Roman" w:hAnsi="Times New Roman"/>
          <w:sz w:val="28"/>
          <w:szCs w:val="28"/>
        </w:rPr>
        <w:t xml:space="preserve"/>
      </w:r>
    </w:p>
    <w:p>
      <w:pPr>
        <w:spacing w:after="60" w:before="120" w:line="360"/>
        <w:ind w:firstLine="0"/>
        <w:jc w:val="left"/>
      </w:pPr>
      <w:r>
        <w:rPr>
          <w:rFonts w:ascii="Times New Roman" w:cs="Times New Roman" w:eastAsia="Times New Roman" w:hAnsi="Times New Roman"/>
          <w:b w:val="false"/>
          <w:bCs w:val="false"/>
          <w:sz w:val="28"/>
          <w:szCs w:val="28"/>
        </w:rPr>
        <w:t xml:space="preserve">Таблица 2 — Признаковое пространство системы (43 признака)</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2500"/>
        <w:gridCol w:w="1600"/>
        <w:gridCol w:w="1700"/>
      </w:tblGrid>
      <w:tr>
        <w:trPr>
          <w:tblHeader/>
        </w:trPr>
        <w:tc>
          <w:tcPr>
            <w:tcW w:type="dxa" w:w="3200"/>
            <w:tcBorders>
              <w:top w:val="single" w:color="000000" w:sz="4"/>
              <w:left w:val="single" w:color="000000" w:sz="4"/>
              <w:bottom w:val="single" w:color="000000" w:sz="4"/>
              <w:right w:val="single" w:color="000000" w:sz="4"/>
            </w:tcBorders>
            <w:shd w:fill="D9E1F2" w:val="clear"/>
            <w:tcMar>
              <w:top w:type="dxa" w:w="60"/>
              <w:left w:type="dxa" w:w="100"/>
              <w:bottom w:type="dxa" w:w="60"/>
              <w:right w:type="dxa" w:w="100"/>
            </w:tcMar>
          </w:tcPr>
          <w:p>
            <w:pPr>
              <w:spacing w:after="0" w:before="0" w:line="260"/>
              <w:jc w:val="left"/>
            </w:pPr>
            <w:r>
              <w:rPr>
                <w:rFonts w:ascii="Times New Roman" w:cs="Times New Roman" w:eastAsia="Times New Roman" w:hAnsi="Times New Roman"/>
                <w:b/>
                <w:bCs/>
                <w:sz w:val="20"/>
                <w:szCs w:val="20"/>
              </w:rPr>
              <w:t xml:space="preserve">Название признака</w:t>
            </w:r>
          </w:p>
        </w:tc>
        <w:tc>
          <w:tcPr>
            <w:tcW w:type="dxa" w:w="2500"/>
            <w:tcBorders>
              <w:top w:val="single" w:color="000000" w:sz="4"/>
              <w:left w:val="single" w:color="000000" w:sz="4"/>
              <w:bottom w:val="single" w:color="000000" w:sz="4"/>
              <w:right w:val="single" w:color="000000" w:sz="4"/>
            </w:tcBorders>
            <w:shd w:fill="D9E1F2" w:val="clear"/>
            <w:tcMar>
              <w:top w:type="dxa" w:w="60"/>
              <w:left w:type="dxa" w:w="100"/>
              <w:bottom w:type="dxa" w:w="60"/>
              <w:right w:type="dxa" w:w="100"/>
            </w:tcMar>
          </w:tcPr>
          <w:p>
            <w:pPr>
              <w:spacing w:after="0" w:before="0" w:line="260"/>
              <w:jc w:val="left"/>
            </w:pPr>
            <w:r>
              <w:rPr>
                <w:rFonts w:ascii="Times New Roman" w:cs="Times New Roman" w:eastAsia="Times New Roman" w:hAnsi="Times New Roman"/>
                <w:b/>
                <w:bCs/>
                <w:sz w:val="20"/>
                <w:szCs w:val="20"/>
              </w:rPr>
              <w:t xml:space="preserve">Обозначение</w:t>
            </w:r>
          </w:p>
        </w:tc>
        <w:tc>
          <w:tcPr>
            <w:tcW w:type="dxa" w:w="1600"/>
            <w:tcBorders>
              <w:top w:val="single" w:color="000000" w:sz="4"/>
              <w:left w:val="single" w:color="000000" w:sz="4"/>
              <w:bottom w:val="single" w:color="000000" w:sz="4"/>
              <w:right w:val="single" w:color="000000" w:sz="4"/>
            </w:tcBorders>
            <w:shd w:fill="D9E1F2" w:val="clear"/>
            <w:tcMar>
              <w:top w:type="dxa" w:w="60"/>
              <w:left w:type="dxa" w:w="100"/>
              <w:bottom w:type="dxa" w:w="60"/>
              <w:right w:type="dxa" w:w="100"/>
            </w:tcMar>
          </w:tcPr>
          <w:p>
            <w:pPr>
              <w:spacing w:after="0" w:before="0" w:line="260"/>
              <w:jc w:val="left"/>
            </w:pPr>
            <w:r>
              <w:rPr>
                <w:rFonts w:ascii="Times New Roman" w:cs="Times New Roman" w:eastAsia="Times New Roman" w:hAnsi="Times New Roman"/>
                <w:b/>
                <w:bCs/>
                <w:sz w:val="20"/>
                <w:szCs w:val="20"/>
              </w:rPr>
              <w:t xml:space="preserve">Группа</w:t>
            </w:r>
          </w:p>
        </w:tc>
        <w:tc>
          <w:tcPr>
            <w:tcW w:type="dxa" w:w="1700"/>
            <w:tcBorders>
              <w:top w:val="single" w:color="000000" w:sz="4"/>
              <w:left w:val="single" w:color="000000" w:sz="4"/>
              <w:bottom w:val="single" w:color="000000" w:sz="4"/>
              <w:right w:val="single" w:color="000000" w:sz="4"/>
            </w:tcBorders>
            <w:shd w:fill="D9E1F2" w:val="clear"/>
            <w:tcMar>
              <w:top w:type="dxa" w:w="60"/>
              <w:left w:type="dxa" w:w="100"/>
              <w:bottom w:type="dxa" w:w="60"/>
              <w:right w:type="dxa" w:w="100"/>
            </w:tcMar>
          </w:tcPr>
          <w:p>
            <w:pPr>
              <w:spacing w:after="0" w:before="0" w:line="260"/>
              <w:jc w:val="left"/>
            </w:pPr>
            <w:r>
              <w:rPr>
                <w:rFonts w:ascii="Times New Roman" w:cs="Times New Roman" w:eastAsia="Times New Roman" w:hAnsi="Times New Roman"/>
                <w:b/>
                <w:bCs/>
                <w:sz w:val="20"/>
                <w:szCs w:val="20"/>
              </w:rPr>
              <w:t xml:space="preserve">Категория MQM</w:t>
            </w:r>
          </w:p>
        </w:tc>
      </w:tr>
      <w:tr>
        <w:trPr>
          <w:tblHeader w:val="false"/>
        </w:trPr>
        <w:tc>
          <w:tcPr>
            <w:tcW w:type="dxa" w:w="3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0" w:before="0" w:line="260"/>
              <w:jc w:val="left"/>
            </w:pPr>
            <w:r>
              <w:rPr>
                <w:rFonts w:ascii="Times New Roman" w:cs="Times New Roman" w:eastAsia="Times New Roman" w:hAnsi="Times New Roman"/>
                <w:b w:val="false"/>
                <w:bCs w:val="false"/>
                <w:sz w:val="20"/>
                <w:szCs w:val="20"/>
              </w:rPr>
              <w:t xml:space="preserve">Соотношение длин (токены)</w:t>
            </w:r>
          </w:p>
        </w:tc>
        <w:tc>
          <w:tcPr>
            <w:tcW w:type="dxa" w:w="25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0" w:before="0" w:line="260"/>
              <w:jc w:val="left"/>
            </w:pPr>
            <w:r>
              <w:rPr>
                <w:rFonts w:ascii="Times New Roman" w:cs="Times New Roman" w:eastAsia="Times New Roman" w:hAnsi="Times New Roman"/>
                <w:b w:val="false"/>
                <w:bCs w:val="false"/>
                <w:sz w:val="20"/>
                <w:szCs w:val="20"/>
              </w:rPr>
              <w:t xml:space="preserve">length_ratio</w:t>
            </w:r>
          </w:p>
        </w:tc>
        <w:tc>
          <w:tcPr>
            <w:tcW w:type="dxa" w:w="16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0" w:before="0" w:line="260"/>
              <w:jc w:val="left"/>
            </w:pPr>
            <w:r>
              <w:rPr>
                <w:rFonts w:ascii="Times New Roman" w:cs="Times New Roman" w:eastAsia="Times New Roman" w:hAnsi="Times New Roman"/>
                <w:b w:val="false"/>
                <w:bCs w:val="false"/>
                <w:sz w:val="20"/>
                <w:szCs w:val="20"/>
              </w:rPr>
              <w:t xml:space="preserve">Структурные</w:t>
            </w:r>
          </w:p>
        </w:tc>
        <w:tc>
          <w:tcPr>
            <w:tcW w:type="dxa" w:w="17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0" w:before="0" w:line="260"/>
              <w:jc w:val="left"/>
            </w:pPr>
            <w:r>
              <w:rPr>
                <w:rFonts w:ascii="Times New Roman" w:cs="Times New Roman" w:eastAsia="Times New Roman" w:hAnsi="Times New Roman"/>
                <w:b w:val="false"/>
                <w:bCs w:val="false"/>
                <w:sz w:val="20"/>
                <w:szCs w:val="20"/>
              </w:rPr>
              <w:t xml:space="preserve">Точность</w:t>
            </w:r>
          </w:p>
        </w:tc>
      </w:tr>
      <w:tr>
        <w:trPr>
          <w:tblHeader w:val="false"/>
        </w:trPr>
        <w:tc>
          <w:tcPr>
            <w:tcW w:type="dxa" w:w="3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0" w:before="0" w:line="260"/>
              <w:jc w:val="left"/>
            </w:pPr>
            <w:r>
              <w:rPr>
                <w:rFonts w:ascii="Times New Roman" w:cs="Times New Roman" w:eastAsia="Times New Roman" w:hAnsi="Times New Roman"/>
                <w:b w:val="false"/>
                <w:bCs w:val="false"/>
                <w:sz w:val="20"/>
                <w:szCs w:val="20"/>
              </w:rPr>
              <w:t xml:space="preserve">Абс. разность числа токенов</w:t>
            </w:r>
          </w:p>
        </w:tc>
        <w:tc>
          <w:tcPr>
            <w:tcW w:type="dxa" w:w="25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0" w:before="0" w:line="260"/>
              <w:jc w:val="left"/>
            </w:pPr>
            <w:r>
              <w:rPr>
                <w:rFonts w:ascii="Times New Roman" w:cs="Times New Roman" w:eastAsia="Times New Roman" w:hAnsi="Times New Roman"/>
                <w:b w:val="false"/>
                <w:bCs w:val="false"/>
                <w:sz w:val="20"/>
                <w:szCs w:val="20"/>
              </w:rPr>
              <w:t xml:space="preserve">abs_length_diff</w:t>
            </w:r>
          </w:p>
        </w:tc>
        <w:tc>
          <w:tcPr>
            <w:tcW w:type="dxa" w:w="16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0" w:before="0" w:line="260"/>
              <w:jc w:val="left"/>
            </w:pPr>
            <w:r>
              <w:rPr>
                <w:rFonts w:ascii="Times New Roman" w:cs="Times New Roman" w:eastAsia="Times New Roman" w:hAnsi="Times New Roman"/>
                <w:b w:val="false"/>
                <w:bCs w:val="false"/>
                <w:sz w:val="20"/>
                <w:szCs w:val="20"/>
              </w:rPr>
              <w:t xml:space="preserve">Структурные</w:t>
            </w:r>
          </w:p>
        </w:tc>
        <w:tc>
          <w:tcPr>
            <w:tcW w:type="dxa" w:w="17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0" w:before="0" w:line="260"/>
              <w:jc w:val="left"/>
            </w:pPr>
            <w:r>
              <w:rPr>
                <w:rFonts w:ascii="Times New Roman" w:cs="Times New Roman" w:eastAsia="Times New Roman" w:hAnsi="Times New Roman"/>
                <w:b w:val="false"/>
                <w:bCs w:val="false"/>
                <w:sz w:val="20"/>
                <w:szCs w:val="20"/>
              </w:rPr>
              <w:t xml:space="preserve">Точность</w:t>
            </w:r>
          </w:p>
        </w:tc>
      </w:tr>
      <w:tr>
        <w:trPr>
          <w:tblHeader w:val="false"/>
        </w:trPr>
        <w:tc>
          <w:tcPr>
            <w:tcW w:type="dxa" w:w="3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0" w:before="0" w:line="260"/>
              <w:jc w:val="left"/>
            </w:pPr>
            <w:r>
              <w:rPr>
                <w:rFonts w:ascii="Times New Roman" w:cs="Times New Roman" w:eastAsia="Times New Roman" w:hAnsi="Times New Roman"/>
                <w:b w:val="false"/>
                <w:bCs w:val="false"/>
                <w:sz w:val="20"/>
                <w:szCs w:val="20"/>
              </w:rPr>
              <w:t xml:space="preserve">Знаковая разность числа токенов</w:t>
            </w:r>
          </w:p>
        </w:tc>
        <w:tc>
          <w:tcPr>
            <w:tcW w:type="dxa" w:w="25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0" w:before="0" w:line="260"/>
              <w:jc w:val="left"/>
            </w:pPr>
            <w:r>
              <w:rPr>
                <w:rFonts w:ascii="Times New Roman" w:cs="Times New Roman" w:eastAsia="Times New Roman" w:hAnsi="Times New Roman"/>
                <w:b w:val="false"/>
                <w:bCs w:val="false"/>
                <w:sz w:val="20"/>
                <w:szCs w:val="20"/>
              </w:rPr>
              <w:t xml:space="preserve">token_count_diff</w:t>
            </w:r>
          </w:p>
        </w:tc>
        <w:tc>
          <w:tcPr>
            <w:tcW w:type="dxa" w:w="16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0" w:before="0" w:line="260"/>
              <w:jc w:val="left"/>
            </w:pPr>
            <w:r>
              <w:rPr>
                <w:rFonts w:ascii="Times New Roman" w:cs="Times New Roman" w:eastAsia="Times New Roman" w:hAnsi="Times New Roman"/>
                <w:b w:val="false"/>
                <w:bCs w:val="false"/>
                <w:sz w:val="20"/>
                <w:szCs w:val="20"/>
              </w:rPr>
              <w:t xml:space="preserve">Структурные</w:t>
            </w:r>
          </w:p>
        </w:tc>
        <w:tc>
          <w:tcPr>
            <w:tcW w:type="dxa" w:w="17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0" w:before="0" w:line="260"/>
              <w:jc w:val="left"/>
            </w:pPr>
            <w:r>
              <w:rPr>
                <w:rFonts w:ascii="Times New Roman" w:cs="Times New Roman" w:eastAsia="Times New Roman" w:hAnsi="Times New Roman"/>
                <w:b w:val="false"/>
                <w:bCs w:val="false"/>
                <w:sz w:val="20"/>
                <w:szCs w:val="20"/>
              </w:rPr>
              <w:t xml:space="preserve">Точность</w:t>
            </w:r>
          </w:p>
        </w:tc>
      </w:tr>
      <w:tr>
        <w:trPr>
          <w:tblHeader w:val="false"/>
        </w:trPr>
        <w:tc>
          <w:tcPr>
            <w:tcW w:type="dxa" w:w="3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0" w:before="0" w:line="260"/>
              <w:jc w:val="left"/>
            </w:pPr>
            <w:r>
              <w:rPr>
                <w:rFonts w:ascii="Times New Roman" w:cs="Times New Roman" w:eastAsia="Times New Roman" w:hAnsi="Times New Roman"/>
                <w:b w:val="false"/>
                <w:bCs w:val="false"/>
                <w:sz w:val="20"/>
                <w:szCs w:val="20"/>
              </w:rPr>
              <w:t xml:space="preserve">Длина исходного текста</w:t>
            </w:r>
          </w:p>
        </w:tc>
        <w:tc>
          <w:tcPr>
            <w:tcW w:type="dxa" w:w="25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0" w:before="0" w:line="260"/>
              <w:jc w:val="left"/>
            </w:pPr>
            <w:r>
              <w:rPr>
                <w:rFonts w:ascii="Times New Roman" w:cs="Times New Roman" w:eastAsia="Times New Roman" w:hAnsi="Times New Roman"/>
                <w:b w:val="false"/>
                <w:bCs w:val="false"/>
                <w:sz w:val="20"/>
                <w:szCs w:val="20"/>
              </w:rPr>
              <w:t xml:space="preserve">src_length</w:t>
            </w:r>
          </w:p>
        </w:tc>
        <w:tc>
          <w:tcPr>
            <w:tcW w:type="dxa" w:w="16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0" w:before="0" w:line="260"/>
              <w:jc w:val="left"/>
            </w:pPr>
            <w:r>
              <w:rPr>
                <w:rFonts w:ascii="Times New Roman" w:cs="Times New Roman" w:eastAsia="Times New Roman" w:hAnsi="Times New Roman"/>
                <w:b w:val="false"/>
                <w:bCs w:val="false"/>
                <w:sz w:val="20"/>
                <w:szCs w:val="20"/>
              </w:rPr>
              <w:t xml:space="preserve">Структурные</w:t>
            </w:r>
          </w:p>
        </w:tc>
        <w:tc>
          <w:tcPr>
            <w:tcW w:type="dxa" w:w="17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0" w:before="0" w:line="260"/>
              <w:jc w:val="left"/>
            </w:pPr>
            <w:r>
              <w:rPr>
                <w:rFonts w:ascii="Times New Roman" w:cs="Times New Roman" w:eastAsia="Times New Roman" w:hAnsi="Times New Roman"/>
                <w:b w:val="false"/>
                <w:bCs w:val="false"/>
                <w:sz w:val="20"/>
                <w:szCs w:val="20"/>
              </w:rPr>
              <w:t xml:space="preserve">—</w:t>
            </w:r>
          </w:p>
        </w:tc>
      </w:tr>
      <w:tr>
        <w:trPr>
          <w:tblHeader w:val="false"/>
        </w:trPr>
        <w:tc>
          <w:tcPr>
            <w:tcW w:type="dxa" w:w="3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0" w:before="0" w:line="260"/>
              <w:jc w:val="left"/>
            </w:pPr>
            <w:r>
              <w:rPr>
                <w:rFonts w:ascii="Times New Roman" w:cs="Times New Roman" w:eastAsia="Times New Roman" w:hAnsi="Times New Roman"/>
                <w:b w:val="false"/>
                <w:bCs w:val="false"/>
                <w:sz w:val="20"/>
                <w:szCs w:val="20"/>
              </w:rPr>
              <w:t xml:space="preserve">Длина перевода</w:t>
            </w:r>
          </w:p>
        </w:tc>
        <w:tc>
          <w:tcPr>
            <w:tcW w:type="dxa" w:w="25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0" w:before="0" w:line="260"/>
              <w:jc w:val="left"/>
            </w:pPr>
            <w:r>
              <w:rPr>
                <w:rFonts w:ascii="Times New Roman" w:cs="Times New Roman" w:eastAsia="Times New Roman" w:hAnsi="Times New Roman"/>
                <w:b w:val="false"/>
                <w:bCs w:val="false"/>
                <w:sz w:val="20"/>
                <w:szCs w:val="20"/>
              </w:rPr>
              <w:t xml:space="preserve">mt_length</w:t>
            </w:r>
          </w:p>
        </w:tc>
        <w:tc>
          <w:tcPr>
            <w:tcW w:type="dxa" w:w="16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0" w:before="0" w:line="260"/>
              <w:jc w:val="left"/>
            </w:pPr>
            <w:r>
              <w:rPr>
                <w:rFonts w:ascii="Times New Roman" w:cs="Times New Roman" w:eastAsia="Times New Roman" w:hAnsi="Times New Roman"/>
                <w:b w:val="false"/>
                <w:bCs w:val="false"/>
                <w:sz w:val="20"/>
                <w:szCs w:val="20"/>
              </w:rPr>
              <w:t xml:space="preserve">Структурные</w:t>
            </w:r>
          </w:p>
        </w:tc>
        <w:tc>
          <w:tcPr>
            <w:tcW w:type="dxa" w:w="17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0" w:before="0" w:line="260"/>
              <w:jc w:val="left"/>
            </w:pPr>
            <w:r>
              <w:rPr>
                <w:rFonts w:ascii="Times New Roman" w:cs="Times New Roman" w:eastAsia="Times New Roman" w:hAnsi="Times New Roman"/>
                <w:b w:val="false"/>
                <w:bCs w:val="false"/>
                <w:sz w:val="20"/>
                <w:szCs w:val="20"/>
              </w:rPr>
              <w:t xml:space="preserve">—</w:t>
            </w:r>
          </w:p>
        </w:tc>
      </w:tr>
      <w:tr>
        <w:trPr>
          <w:tblHeader w:val="false"/>
        </w:trPr>
        <w:tc>
          <w:tcPr>
            <w:tcW w:type="dxa" w:w="3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0" w:before="0" w:line="260"/>
              <w:jc w:val="left"/>
            </w:pPr>
            <w:r>
              <w:rPr>
                <w:rFonts w:ascii="Times New Roman" w:cs="Times New Roman" w:eastAsia="Times New Roman" w:hAnsi="Times New Roman"/>
                <w:b w:val="false"/>
                <w:bCs w:val="false"/>
                <w:sz w:val="20"/>
                <w:szCs w:val="20"/>
              </w:rPr>
              <w:t xml:space="preserve">Соотношение числа символов</w:t>
            </w:r>
          </w:p>
        </w:tc>
        <w:tc>
          <w:tcPr>
            <w:tcW w:type="dxa" w:w="25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0" w:before="0" w:line="260"/>
              <w:jc w:val="left"/>
            </w:pPr>
            <w:r>
              <w:rPr>
                <w:rFonts w:ascii="Times New Roman" w:cs="Times New Roman" w:eastAsia="Times New Roman" w:hAnsi="Times New Roman"/>
                <w:b w:val="false"/>
                <w:bCs w:val="false"/>
                <w:sz w:val="20"/>
                <w:szCs w:val="20"/>
              </w:rPr>
              <w:t xml:space="preserve">compression_ratio</w:t>
            </w:r>
          </w:p>
        </w:tc>
        <w:tc>
          <w:tcPr>
            <w:tcW w:type="dxa" w:w="16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0" w:before="0" w:line="260"/>
              <w:jc w:val="left"/>
            </w:pPr>
            <w:r>
              <w:rPr>
                <w:rFonts w:ascii="Times New Roman" w:cs="Times New Roman" w:eastAsia="Times New Roman" w:hAnsi="Times New Roman"/>
                <w:b w:val="false"/>
                <w:bCs w:val="false"/>
                <w:sz w:val="20"/>
                <w:szCs w:val="20"/>
              </w:rPr>
              <w:t xml:space="preserve">Структурные</w:t>
            </w:r>
          </w:p>
        </w:tc>
        <w:tc>
          <w:tcPr>
            <w:tcW w:type="dxa" w:w="17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0" w:before="0" w:line="260"/>
              <w:jc w:val="left"/>
            </w:pPr>
            <w:r>
              <w:rPr>
                <w:rFonts w:ascii="Times New Roman" w:cs="Times New Roman" w:eastAsia="Times New Roman" w:hAnsi="Times New Roman"/>
                <w:b w:val="false"/>
                <w:bCs w:val="false"/>
                <w:sz w:val="20"/>
                <w:szCs w:val="20"/>
              </w:rPr>
              <w:t xml:space="preserve">Точность</w:t>
            </w:r>
          </w:p>
        </w:tc>
      </w:tr>
      <w:tr>
        <w:trPr>
          <w:tblHeader w:val="false"/>
        </w:trPr>
        <w:tc>
          <w:tcPr>
            <w:tcW w:type="dxa" w:w="3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0" w:before="0" w:line="260"/>
              <w:jc w:val="left"/>
            </w:pPr>
            <w:r>
              <w:rPr>
                <w:rFonts w:ascii="Times New Roman" w:cs="Times New Roman" w:eastAsia="Times New Roman" w:hAnsi="Times New Roman"/>
                <w:b w:val="false"/>
                <w:bCs w:val="false"/>
                <w:sz w:val="20"/>
                <w:szCs w:val="20"/>
              </w:rPr>
              <w:t xml:space="preserve">Разность числа предложений</w:t>
            </w:r>
          </w:p>
        </w:tc>
        <w:tc>
          <w:tcPr>
            <w:tcW w:type="dxa" w:w="25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0" w:before="0" w:line="260"/>
              <w:jc w:val="left"/>
            </w:pPr>
            <w:r>
              <w:rPr>
                <w:rFonts w:ascii="Times New Roman" w:cs="Times New Roman" w:eastAsia="Times New Roman" w:hAnsi="Times New Roman"/>
                <w:b w:val="false"/>
                <w:bCs w:val="false"/>
                <w:sz w:val="20"/>
                <w:szCs w:val="20"/>
              </w:rPr>
              <w:t xml:space="preserve">sentence_count_diff</w:t>
            </w:r>
          </w:p>
        </w:tc>
        <w:tc>
          <w:tcPr>
            <w:tcW w:type="dxa" w:w="16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0" w:before="0" w:line="260"/>
              <w:jc w:val="left"/>
            </w:pPr>
            <w:r>
              <w:rPr>
                <w:rFonts w:ascii="Times New Roman" w:cs="Times New Roman" w:eastAsia="Times New Roman" w:hAnsi="Times New Roman"/>
                <w:b w:val="false"/>
                <w:bCs w:val="false"/>
                <w:sz w:val="20"/>
                <w:szCs w:val="20"/>
              </w:rPr>
              <w:t xml:space="preserve">Структурные</w:t>
            </w:r>
          </w:p>
        </w:tc>
        <w:tc>
          <w:tcPr>
            <w:tcW w:type="dxa" w:w="17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0" w:before="0" w:line="260"/>
              <w:jc w:val="left"/>
            </w:pPr>
            <w:r>
              <w:rPr>
                <w:rFonts w:ascii="Times New Roman" w:cs="Times New Roman" w:eastAsia="Times New Roman" w:hAnsi="Times New Roman"/>
                <w:b w:val="false"/>
                <w:bCs w:val="false"/>
                <w:sz w:val="20"/>
                <w:szCs w:val="20"/>
              </w:rPr>
              <w:t xml:space="preserve">Точность</w:t>
            </w:r>
          </w:p>
        </w:tc>
      </w:tr>
      <w:tr>
        <w:trPr>
          <w:tblHeader w:val="false"/>
        </w:trPr>
        <w:tc>
          <w:tcPr>
            <w:tcW w:type="dxa" w:w="3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0" w:before="0" w:line="260"/>
              <w:jc w:val="left"/>
            </w:pPr>
            <w:r>
              <w:rPr>
                <w:rFonts w:ascii="Times New Roman" w:cs="Times New Roman" w:eastAsia="Times New Roman" w:hAnsi="Times New Roman"/>
                <w:b w:val="false"/>
                <w:bCs w:val="false"/>
                <w:sz w:val="20"/>
                <w:szCs w:val="20"/>
              </w:rPr>
              <w:t xml:space="preserve">Доля сохранённых числовых значений</w:t>
            </w:r>
          </w:p>
        </w:tc>
        <w:tc>
          <w:tcPr>
            <w:tcW w:type="dxa" w:w="25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0" w:before="0" w:line="260"/>
              <w:jc w:val="left"/>
            </w:pPr>
            <w:r>
              <w:rPr>
                <w:rFonts w:ascii="Times New Roman" w:cs="Times New Roman" w:eastAsia="Times New Roman" w:hAnsi="Times New Roman"/>
                <w:b w:val="false"/>
                <w:bCs w:val="false"/>
                <w:sz w:val="20"/>
                <w:szCs w:val="20"/>
              </w:rPr>
              <w:t xml:space="preserve">digit_match_ratio</w:t>
            </w:r>
          </w:p>
        </w:tc>
        <w:tc>
          <w:tcPr>
            <w:tcW w:type="dxa" w:w="16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0" w:before="0" w:line="260"/>
              <w:jc w:val="left"/>
            </w:pPr>
            <w:r>
              <w:rPr>
                <w:rFonts w:ascii="Times New Roman" w:cs="Times New Roman" w:eastAsia="Times New Roman" w:hAnsi="Times New Roman"/>
                <w:b w:val="false"/>
                <w:bCs w:val="false"/>
                <w:sz w:val="20"/>
                <w:szCs w:val="20"/>
              </w:rPr>
              <w:t xml:space="preserve">Форматные</w:t>
            </w:r>
          </w:p>
        </w:tc>
        <w:tc>
          <w:tcPr>
            <w:tcW w:type="dxa" w:w="17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0" w:before="0" w:line="260"/>
              <w:jc w:val="left"/>
            </w:pPr>
            <w:r>
              <w:rPr>
                <w:rFonts w:ascii="Times New Roman" w:cs="Times New Roman" w:eastAsia="Times New Roman" w:hAnsi="Times New Roman"/>
                <w:b w:val="false"/>
                <w:bCs w:val="false"/>
                <w:sz w:val="20"/>
                <w:szCs w:val="20"/>
              </w:rPr>
              <w:t xml:space="preserve">Локализация</w:t>
            </w:r>
          </w:p>
        </w:tc>
      </w:tr>
      <w:tr>
        <w:trPr>
          <w:tblHeader w:val="false"/>
        </w:trPr>
        <w:tc>
          <w:tcPr>
            <w:tcW w:type="dxa" w:w="3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0" w:before="0" w:line="260"/>
              <w:jc w:val="left"/>
            </w:pPr>
            <w:r>
              <w:rPr>
                <w:rFonts w:ascii="Times New Roman" w:cs="Times New Roman" w:eastAsia="Times New Roman" w:hAnsi="Times New Roman"/>
                <w:b w:val="false"/>
                <w:bCs w:val="false"/>
                <w:sz w:val="20"/>
                <w:szCs w:val="20"/>
              </w:rPr>
              <w:t xml:space="preserve">Соотношение знаков препинания</w:t>
            </w:r>
          </w:p>
        </w:tc>
        <w:tc>
          <w:tcPr>
            <w:tcW w:type="dxa" w:w="25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0" w:before="0" w:line="260"/>
              <w:jc w:val="left"/>
            </w:pPr>
            <w:r>
              <w:rPr>
                <w:rFonts w:ascii="Times New Roman" w:cs="Times New Roman" w:eastAsia="Times New Roman" w:hAnsi="Times New Roman"/>
                <w:b w:val="false"/>
                <w:bCs w:val="false"/>
                <w:sz w:val="20"/>
                <w:szCs w:val="20"/>
              </w:rPr>
              <w:t xml:space="preserve">punct_ratio</w:t>
            </w:r>
          </w:p>
        </w:tc>
        <w:tc>
          <w:tcPr>
            <w:tcW w:type="dxa" w:w="16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0" w:before="0" w:line="260"/>
              <w:jc w:val="left"/>
            </w:pPr>
            <w:r>
              <w:rPr>
                <w:rFonts w:ascii="Times New Roman" w:cs="Times New Roman" w:eastAsia="Times New Roman" w:hAnsi="Times New Roman"/>
                <w:b w:val="false"/>
                <w:bCs w:val="false"/>
                <w:sz w:val="20"/>
                <w:szCs w:val="20"/>
              </w:rPr>
              <w:t xml:space="preserve">Форматные</w:t>
            </w:r>
          </w:p>
        </w:tc>
        <w:tc>
          <w:tcPr>
            <w:tcW w:type="dxa" w:w="17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0" w:before="0" w:line="260"/>
              <w:jc w:val="left"/>
            </w:pPr>
            <w:r>
              <w:rPr>
                <w:rFonts w:ascii="Times New Roman" w:cs="Times New Roman" w:eastAsia="Times New Roman" w:hAnsi="Times New Roman"/>
                <w:b w:val="false"/>
                <w:bCs w:val="false"/>
                <w:sz w:val="20"/>
                <w:szCs w:val="20"/>
              </w:rPr>
              <w:t xml:space="preserve">Грамотность</w:t>
            </w:r>
          </w:p>
        </w:tc>
      </w:tr>
      <w:tr>
        <w:trPr>
          <w:tblHeader w:val="false"/>
        </w:trPr>
        <w:tc>
          <w:tcPr>
            <w:tcW w:type="dxa" w:w="3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0" w:before="0" w:line="260"/>
              <w:jc w:val="left"/>
            </w:pPr>
            <w:r>
              <w:rPr>
                <w:rFonts w:ascii="Times New Roman" w:cs="Times New Roman" w:eastAsia="Times New Roman" w:hAnsi="Times New Roman"/>
                <w:b w:val="false"/>
                <w:bCs w:val="false"/>
                <w:sz w:val="20"/>
                <w:szCs w:val="20"/>
              </w:rPr>
              <w:t xml:space="preserve">Несоответствие кавычек</w:t>
            </w:r>
          </w:p>
        </w:tc>
        <w:tc>
          <w:tcPr>
            <w:tcW w:type="dxa" w:w="25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0" w:before="0" w:line="260"/>
              <w:jc w:val="left"/>
            </w:pPr>
            <w:r>
              <w:rPr>
                <w:rFonts w:ascii="Times New Roman" w:cs="Times New Roman" w:eastAsia="Times New Roman" w:hAnsi="Times New Roman"/>
                <w:b w:val="false"/>
                <w:bCs w:val="false"/>
                <w:sz w:val="20"/>
                <w:szCs w:val="20"/>
              </w:rPr>
              <w:t xml:space="preserve">quotes_mismatch</w:t>
            </w:r>
          </w:p>
        </w:tc>
        <w:tc>
          <w:tcPr>
            <w:tcW w:type="dxa" w:w="16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0" w:before="0" w:line="260"/>
              <w:jc w:val="left"/>
            </w:pPr>
            <w:r>
              <w:rPr>
                <w:rFonts w:ascii="Times New Roman" w:cs="Times New Roman" w:eastAsia="Times New Roman" w:hAnsi="Times New Roman"/>
                <w:b w:val="false"/>
                <w:bCs w:val="false"/>
                <w:sz w:val="20"/>
                <w:szCs w:val="20"/>
              </w:rPr>
              <w:t xml:space="preserve">Форматные</w:t>
            </w:r>
          </w:p>
        </w:tc>
        <w:tc>
          <w:tcPr>
            <w:tcW w:type="dxa" w:w="17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0" w:before="0" w:line="260"/>
              <w:jc w:val="left"/>
            </w:pPr>
            <w:r>
              <w:rPr>
                <w:rFonts w:ascii="Times New Roman" w:cs="Times New Roman" w:eastAsia="Times New Roman" w:hAnsi="Times New Roman"/>
                <w:b w:val="false"/>
                <w:bCs w:val="false"/>
                <w:sz w:val="20"/>
                <w:szCs w:val="20"/>
              </w:rPr>
              <w:t xml:space="preserve">Локализация</w:t>
            </w:r>
          </w:p>
        </w:tc>
      </w:tr>
      <w:tr>
        <w:trPr>
          <w:tblHeader w:val="false"/>
        </w:trPr>
        <w:tc>
          <w:tcPr>
            <w:tcW w:type="dxa" w:w="3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0" w:before="0" w:line="260"/>
              <w:jc w:val="left"/>
            </w:pPr>
            <w:r>
              <w:rPr>
                <w:rFonts w:ascii="Times New Roman" w:cs="Times New Roman" w:eastAsia="Times New Roman" w:hAnsi="Times New Roman"/>
                <w:b w:val="false"/>
                <w:bCs w:val="false"/>
                <w:sz w:val="20"/>
                <w:szCs w:val="20"/>
              </w:rPr>
              <w:t xml:space="preserve">Ошибка формата даты</w:t>
            </w:r>
          </w:p>
        </w:tc>
        <w:tc>
          <w:tcPr>
            <w:tcW w:type="dxa" w:w="25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0" w:before="0" w:line="260"/>
              <w:jc w:val="left"/>
            </w:pPr>
            <w:r>
              <w:rPr>
                <w:rFonts w:ascii="Times New Roman" w:cs="Times New Roman" w:eastAsia="Times New Roman" w:hAnsi="Times New Roman"/>
                <w:b w:val="false"/>
                <w:bCs w:val="false"/>
                <w:sz w:val="20"/>
                <w:szCs w:val="20"/>
              </w:rPr>
              <w:t xml:space="preserve">date_format_error</w:t>
            </w:r>
          </w:p>
        </w:tc>
        <w:tc>
          <w:tcPr>
            <w:tcW w:type="dxa" w:w="16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0" w:before="0" w:line="260"/>
              <w:jc w:val="left"/>
            </w:pPr>
            <w:r>
              <w:rPr>
                <w:rFonts w:ascii="Times New Roman" w:cs="Times New Roman" w:eastAsia="Times New Roman" w:hAnsi="Times New Roman"/>
                <w:b w:val="false"/>
                <w:bCs w:val="false"/>
                <w:sz w:val="20"/>
                <w:szCs w:val="20"/>
              </w:rPr>
              <w:t xml:space="preserve">Форматные</w:t>
            </w:r>
          </w:p>
        </w:tc>
        <w:tc>
          <w:tcPr>
            <w:tcW w:type="dxa" w:w="17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0" w:before="0" w:line="260"/>
              <w:jc w:val="left"/>
            </w:pPr>
            <w:r>
              <w:rPr>
                <w:rFonts w:ascii="Times New Roman" w:cs="Times New Roman" w:eastAsia="Times New Roman" w:hAnsi="Times New Roman"/>
                <w:b w:val="false"/>
                <w:bCs w:val="false"/>
                <w:sz w:val="20"/>
                <w:szCs w:val="20"/>
              </w:rPr>
              <w:t xml:space="preserve">Локализация</w:t>
            </w:r>
          </w:p>
        </w:tc>
      </w:tr>
      <w:tr>
        <w:trPr>
          <w:tblHeader w:val="false"/>
        </w:trPr>
        <w:tc>
          <w:tcPr>
            <w:tcW w:type="dxa" w:w="3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0" w:before="0" w:line="260"/>
              <w:jc w:val="left"/>
            </w:pPr>
            <w:r>
              <w:rPr>
                <w:rFonts w:ascii="Times New Roman" w:cs="Times New Roman" w:eastAsia="Times New Roman" w:hAnsi="Times New Roman"/>
                <w:b w:val="false"/>
                <w:bCs w:val="false"/>
                <w:sz w:val="20"/>
                <w:szCs w:val="20"/>
              </w:rPr>
              <w:t xml:space="preserve">Разность числа числовых вхождений</w:t>
            </w:r>
          </w:p>
        </w:tc>
        <w:tc>
          <w:tcPr>
            <w:tcW w:type="dxa" w:w="25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0" w:before="0" w:line="260"/>
              <w:jc w:val="left"/>
            </w:pPr>
            <w:r>
              <w:rPr>
                <w:rFonts w:ascii="Times New Roman" w:cs="Times New Roman" w:eastAsia="Times New Roman" w:hAnsi="Times New Roman"/>
                <w:b w:val="false"/>
                <w:bCs w:val="false"/>
                <w:sz w:val="20"/>
                <w:szCs w:val="20"/>
              </w:rPr>
              <w:t xml:space="preserve">number_count_diff</w:t>
            </w:r>
          </w:p>
        </w:tc>
        <w:tc>
          <w:tcPr>
            <w:tcW w:type="dxa" w:w="16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0" w:before="0" w:line="260"/>
              <w:jc w:val="left"/>
            </w:pPr>
            <w:r>
              <w:rPr>
                <w:rFonts w:ascii="Times New Roman" w:cs="Times New Roman" w:eastAsia="Times New Roman" w:hAnsi="Times New Roman"/>
                <w:b w:val="false"/>
                <w:bCs w:val="false"/>
                <w:sz w:val="20"/>
                <w:szCs w:val="20"/>
              </w:rPr>
              <w:t xml:space="preserve">Форматные</w:t>
            </w:r>
          </w:p>
        </w:tc>
        <w:tc>
          <w:tcPr>
            <w:tcW w:type="dxa" w:w="17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0" w:before="0" w:line="260"/>
              <w:jc w:val="left"/>
            </w:pPr>
            <w:r>
              <w:rPr>
                <w:rFonts w:ascii="Times New Roman" w:cs="Times New Roman" w:eastAsia="Times New Roman" w:hAnsi="Times New Roman"/>
                <w:b w:val="false"/>
                <w:bCs w:val="false"/>
                <w:sz w:val="20"/>
                <w:szCs w:val="20"/>
              </w:rPr>
              <w:t xml:space="preserve">Локализация</w:t>
            </w:r>
          </w:p>
        </w:tc>
      </w:tr>
      <w:tr>
        <w:trPr>
          <w:tblHeader w:val="false"/>
        </w:trPr>
        <w:tc>
          <w:tcPr>
            <w:tcW w:type="dxa" w:w="3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0" w:before="0" w:line="260"/>
              <w:jc w:val="left"/>
            </w:pPr>
            <w:r>
              <w:rPr>
                <w:rFonts w:ascii="Times New Roman" w:cs="Times New Roman" w:eastAsia="Times New Roman" w:hAnsi="Times New Roman"/>
                <w:b w:val="false"/>
                <w:bCs w:val="false"/>
                <w:sz w:val="20"/>
                <w:szCs w:val="20"/>
              </w:rPr>
              <w:t xml:space="preserve">Несоответствие регистра</w:t>
            </w:r>
          </w:p>
        </w:tc>
        <w:tc>
          <w:tcPr>
            <w:tcW w:type="dxa" w:w="25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0" w:before="0" w:line="260"/>
              <w:jc w:val="left"/>
            </w:pPr>
            <w:r>
              <w:rPr>
                <w:rFonts w:ascii="Times New Roman" w:cs="Times New Roman" w:eastAsia="Times New Roman" w:hAnsi="Times New Roman"/>
                <w:b w:val="false"/>
                <w:bCs w:val="false"/>
                <w:sz w:val="20"/>
                <w:szCs w:val="20"/>
              </w:rPr>
              <w:t xml:space="preserve">capitalization_mismatch</w:t>
            </w:r>
          </w:p>
        </w:tc>
        <w:tc>
          <w:tcPr>
            <w:tcW w:type="dxa" w:w="16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0" w:before="0" w:line="260"/>
              <w:jc w:val="left"/>
            </w:pPr>
            <w:r>
              <w:rPr>
                <w:rFonts w:ascii="Times New Roman" w:cs="Times New Roman" w:eastAsia="Times New Roman" w:hAnsi="Times New Roman"/>
                <w:b w:val="false"/>
                <w:bCs w:val="false"/>
                <w:sz w:val="20"/>
                <w:szCs w:val="20"/>
              </w:rPr>
              <w:t xml:space="preserve">Форматные</w:t>
            </w:r>
          </w:p>
        </w:tc>
        <w:tc>
          <w:tcPr>
            <w:tcW w:type="dxa" w:w="17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0" w:before="0" w:line="260"/>
              <w:jc w:val="left"/>
            </w:pPr>
            <w:r>
              <w:rPr>
                <w:rFonts w:ascii="Times New Roman" w:cs="Times New Roman" w:eastAsia="Times New Roman" w:hAnsi="Times New Roman"/>
                <w:b w:val="false"/>
                <w:bCs w:val="false"/>
                <w:sz w:val="20"/>
                <w:szCs w:val="20"/>
              </w:rPr>
              <w:t xml:space="preserve">Точность</w:t>
            </w:r>
          </w:p>
        </w:tc>
      </w:tr>
      <w:tr>
        <w:trPr>
          <w:tblHeader w:val="false"/>
        </w:trPr>
        <w:tc>
          <w:tcPr>
            <w:tcW w:type="dxa" w:w="3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0" w:before="0" w:line="260"/>
              <w:jc w:val="left"/>
            </w:pPr>
            <w:r>
              <w:rPr>
                <w:rFonts w:ascii="Times New Roman" w:cs="Times New Roman" w:eastAsia="Times New Roman" w:hAnsi="Times New Roman"/>
                <w:b w:val="false"/>
                <w:bCs w:val="false"/>
                <w:sz w:val="20"/>
                <w:szCs w:val="20"/>
              </w:rPr>
              <w:t xml:space="preserve">Несоответствие символов валюты</w:t>
            </w:r>
          </w:p>
        </w:tc>
        <w:tc>
          <w:tcPr>
            <w:tcW w:type="dxa" w:w="25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0" w:before="0" w:line="260"/>
              <w:jc w:val="left"/>
            </w:pPr>
            <w:r>
              <w:rPr>
                <w:rFonts w:ascii="Times New Roman" w:cs="Times New Roman" w:eastAsia="Times New Roman" w:hAnsi="Times New Roman"/>
                <w:b w:val="false"/>
                <w:bCs w:val="false"/>
                <w:sz w:val="20"/>
                <w:szCs w:val="20"/>
              </w:rPr>
              <w:t xml:space="preserve">currency_symbol_mismatch</w:t>
            </w:r>
          </w:p>
        </w:tc>
        <w:tc>
          <w:tcPr>
            <w:tcW w:type="dxa" w:w="16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0" w:before="0" w:line="260"/>
              <w:jc w:val="left"/>
            </w:pPr>
            <w:r>
              <w:rPr>
                <w:rFonts w:ascii="Times New Roman" w:cs="Times New Roman" w:eastAsia="Times New Roman" w:hAnsi="Times New Roman"/>
                <w:b w:val="false"/>
                <w:bCs w:val="false"/>
                <w:sz w:val="20"/>
                <w:szCs w:val="20"/>
              </w:rPr>
              <w:t xml:space="preserve">Форматные</w:t>
            </w:r>
          </w:p>
        </w:tc>
        <w:tc>
          <w:tcPr>
            <w:tcW w:type="dxa" w:w="17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0" w:before="0" w:line="260"/>
              <w:jc w:val="left"/>
            </w:pPr>
            <w:r>
              <w:rPr>
                <w:rFonts w:ascii="Times New Roman" w:cs="Times New Roman" w:eastAsia="Times New Roman" w:hAnsi="Times New Roman"/>
                <w:b w:val="false"/>
                <w:bCs w:val="false"/>
                <w:sz w:val="20"/>
                <w:szCs w:val="20"/>
              </w:rPr>
              <w:t xml:space="preserve">Локализация</w:t>
            </w:r>
          </w:p>
        </w:tc>
      </w:tr>
      <w:tr>
        <w:trPr>
          <w:tblHeader w:val="false"/>
        </w:trPr>
        <w:tc>
          <w:tcPr>
            <w:tcW w:type="dxa" w:w="3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0" w:before="0" w:line="260"/>
              <w:jc w:val="left"/>
            </w:pPr>
            <w:r>
              <w:rPr>
                <w:rFonts w:ascii="Times New Roman" w:cs="Times New Roman" w:eastAsia="Times New Roman" w:hAnsi="Times New Roman"/>
                <w:b w:val="false"/>
                <w:bCs w:val="false"/>
                <w:sz w:val="20"/>
                <w:szCs w:val="20"/>
              </w:rPr>
              <w:t xml:space="preserve">Доля словарных промахов</w:t>
            </w:r>
          </w:p>
        </w:tc>
        <w:tc>
          <w:tcPr>
            <w:tcW w:type="dxa" w:w="25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0" w:before="0" w:line="260"/>
              <w:jc w:val="left"/>
            </w:pPr>
            <w:r>
              <w:rPr>
                <w:rFonts w:ascii="Times New Roman" w:cs="Times New Roman" w:eastAsia="Times New Roman" w:hAnsi="Times New Roman"/>
                <w:b w:val="false"/>
                <w:bCs w:val="false"/>
                <w:sz w:val="20"/>
                <w:szCs w:val="20"/>
              </w:rPr>
              <w:t xml:space="preserve">oov_ratio</w:t>
            </w:r>
          </w:p>
        </w:tc>
        <w:tc>
          <w:tcPr>
            <w:tcW w:type="dxa" w:w="16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0" w:before="0" w:line="260"/>
              <w:jc w:val="left"/>
            </w:pPr>
            <w:r>
              <w:rPr>
                <w:rFonts w:ascii="Times New Roman" w:cs="Times New Roman" w:eastAsia="Times New Roman" w:hAnsi="Times New Roman"/>
                <w:b w:val="false"/>
                <w:bCs w:val="false"/>
                <w:sz w:val="20"/>
                <w:szCs w:val="20"/>
              </w:rPr>
              <w:t xml:space="preserve">Лингвистические</w:t>
            </w:r>
          </w:p>
        </w:tc>
        <w:tc>
          <w:tcPr>
            <w:tcW w:type="dxa" w:w="17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0" w:before="0" w:line="260"/>
              <w:jc w:val="left"/>
            </w:pPr>
            <w:r>
              <w:rPr>
                <w:rFonts w:ascii="Times New Roman" w:cs="Times New Roman" w:eastAsia="Times New Roman" w:hAnsi="Times New Roman"/>
                <w:b w:val="false"/>
                <w:bCs w:val="false"/>
                <w:sz w:val="20"/>
                <w:szCs w:val="20"/>
              </w:rPr>
              <w:t xml:space="preserve">Грамотность</w:t>
            </w:r>
          </w:p>
        </w:tc>
      </w:tr>
      <w:tr>
        <w:trPr>
          <w:tblHeader w:val="false"/>
        </w:trPr>
        <w:tc>
          <w:tcPr>
            <w:tcW w:type="dxa" w:w="3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0" w:before="0" w:line="260"/>
              <w:jc w:val="left"/>
            </w:pPr>
            <w:r>
              <w:rPr>
                <w:rFonts w:ascii="Times New Roman" w:cs="Times New Roman" w:eastAsia="Times New Roman" w:hAnsi="Times New Roman"/>
                <w:b w:val="false"/>
                <w:bCs w:val="false"/>
                <w:sz w:val="20"/>
                <w:szCs w:val="20"/>
              </w:rPr>
              <w:t xml:space="preserve">Отношение уникальных слов к общему числу</w:t>
            </w:r>
          </w:p>
        </w:tc>
        <w:tc>
          <w:tcPr>
            <w:tcW w:type="dxa" w:w="25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0" w:before="0" w:line="260"/>
              <w:jc w:val="left"/>
            </w:pPr>
            <w:r>
              <w:rPr>
                <w:rFonts w:ascii="Times New Roman" w:cs="Times New Roman" w:eastAsia="Times New Roman" w:hAnsi="Times New Roman"/>
                <w:b w:val="false"/>
                <w:bCs w:val="false"/>
                <w:sz w:val="20"/>
                <w:szCs w:val="20"/>
              </w:rPr>
              <w:t xml:space="preserve">type_token_ratio</w:t>
            </w:r>
          </w:p>
        </w:tc>
        <w:tc>
          <w:tcPr>
            <w:tcW w:type="dxa" w:w="16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0" w:before="0" w:line="260"/>
              <w:jc w:val="left"/>
            </w:pPr>
            <w:r>
              <w:rPr>
                <w:rFonts w:ascii="Times New Roman" w:cs="Times New Roman" w:eastAsia="Times New Roman" w:hAnsi="Times New Roman"/>
                <w:b w:val="false"/>
                <w:bCs w:val="false"/>
                <w:sz w:val="20"/>
                <w:szCs w:val="20"/>
              </w:rPr>
              <w:t xml:space="preserve">Лингвистические</w:t>
            </w:r>
          </w:p>
        </w:tc>
        <w:tc>
          <w:tcPr>
            <w:tcW w:type="dxa" w:w="17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0" w:before="0" w:line="260"/>
              <w:jc w:val="left"/>
            </w:pPr>
            <w:r>
              <w:rPr>
                <w:rFonts w:ascii="Times New Roman" w:cs="Times New Roman" w:eastAsia="Times New Roman" w:hAnsi="Times New Roman"/>
                <w:b w:val="false"/>
                <w:bCs w:val="false"/>
                <w:sz w:val="20"/>
                <w:szCs w:val="20"/>
              </w:rPr>
              <w:t xml:space="preserve">Стиль</w:t>
            </w:r>
          </w:p>
        </w:tc>
      </w:tr>
      <w:tr>
        <w:trPr>
          <w:tblHeader w:val="false"/>
        </w:trPr>
        <w:tc>
          <w:tcPr>
            <w:tcW w:type="dxa" w:w="3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0" w:before="0" w:line="260"/>
              <w:jc w:val="left"/>
            </w:pPr>
            <w:r>
              <w:rPr>
                <w:rFonts w:ascii="Times New Roman" w:cs="Times New Roman" w:eastAsia="Times New Roman" w:hAnsi="Times New Roman"/>
                <w:b w:val="false"/>
                <w:bCs w:val="false"/>
                <w:sz w:val="20"/>
                <w:szCs w:val="20"/>
              </w:rPr>
              <w:t xml:space="preserve">Средняя длина слова</w:t>
            </w:r>
          </w:p>
        </w:tc>
        <w:tc>
          <w:tcPr>
            <w:tcW w:type="dxa" w:w="25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0" w:before="0" w:line="260"/>
              <w:jc w:val="left"/>
            </w:pPr>
            <w:r>
              <w:rPr>
                <w:rFonts w:ascii="Times New Roman" w:cs="Times New Roman" w:eastAsia="Times New Roman" w:hAnsi="Times New Roman"/>
                <w:b w:val="false"/>
                <w:bCs w:val="false"/>
                <w:sz w:val="20"/>
                <w:szCs w:val="20"/>
              </w:rPr>
              <w:t xml:space="preserve">avg_token_length</w:t>
            </w:r>
          </w:p>
        </w:tc>
        <w:tc>
          <w:tcPr>
            <w:tcW w:type="dxa" w:w="16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0" w:before="0" w:line="260"/>
              <w:jc w:val="left"/>
            </w:pPr>
            <w:r>
              <w:rPr>
                <w:rFonts w:ascii="Times New Roman" w:cs="Times New Roman" w:eastAsia="Times New Roman" w:hAnsi="Times New Roman"/>
                <w:b w:val="false"/>
                <w:bCs w:val="false"/>
                <w:sz w:val="20"/>
                <w:szCs w:val="20"/>
              </w:rPr>
              <w:t xml:space="preserve">Лингвистические</w:t>
            </w:r>
          </w:p>
        </w:tc>
        <w:tc>
          <w:tcPr>
            <w:tcW w:type="dxa" w:w="17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0" w:before="0" w:line="260"/>
              <w:jc w:val="left"/>
            </w:pPr>
            <w:r>
              <w:rPr>
                <w:rFonts w:ascii="Times New Roman" w:cs="Times New Roman" w:eastAsia="Times New Roman" w:hAnsi="Times New Roman"/>
                <w:b w:val="false"/>
                <w:bCs w:val="false"/>
                <w:sz w:val="20"/>
                <w:szCs w:val="20"/>
              </w:rPr>
              <w:t xml:space="preserve">—</w:t>
            </w:r>
          </w:p>
        </w:tc>
      </w:tr>
      <w:tr>
        <w:trPr>
          <w:tblHeader w:val="false"/>
        </w:trPr>
        <w:tc>
          <w:tcPr>
            <w:tcW w:type="dxa" w:w="3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0" w:before="0" w:line="260"/>
              <w:jc w:val="left"/>
            </w:pPr>
            <w:r>
              <w:rPr>
                <w:rFonts w:ascii="Times New Roman" w:cs="Times New Roman" w:eastAsia="Times New Roman" w:hAnsi="Times New Roman"/>
                <w:b w:val="false"/>
                <w:bCs w:val="false"/>
                <w:sz w:val="20"/>
                <w:szCs w:val="20"/>
              </w:rPr>
              <w:t xml:space="preserve">Доля сохранённых именованных сущностей</w:t>
            </w:r>
          </w:p>
        </w:tc>
        <w:tc>
          <w:tcPr>
            <w:tcW w:type="dxa" w:w="25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0" w:before="0" w:line="260"/>
              <w:jc w:val="left"/>
            </w:pPr>
            <w:r>
              <w:rPr>
                <w:rFonts w:ascii="Times New Roman" w:cs="Times New Roman" w:eastAsia="Times New Roman" w:hAnsi="Times New Roman"/>
                <w:b w:val="false"/>
                <w:bCs w:val="false"/>
                <w:sz w:val="20"/>
                <w:szCs w:val="20"/>
              </w:rPr>
              <w:t xml:space="preserve">entity_overlap_ratio</w:t>
            </w:r>
          </w:p>
        </w:tc>
        <w:tc>
          <w:tcPr>
            <w:tcW w:type="dxa" w:w="16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0" w:before="0" w:line="260"/>
              <w:jc w:val="left"/>
            </w:pPr>
            <w:r>
              <w:rPr>
                <w:rFonts w:ascii="Times New Roman" w:cs="Times New Roman" w:eastAsia="Times New Roman" w:hAnsi="Times New Roman"/>
                <w:b w:val="false"/>
                <w:bCs w:val="false"/>
                <w:sz w:val="20"/>
                <w:szCs w:val="20"/>
              </w:rPr>
              <w:t xml:space="preserve">Лингвистические</w:t>
            </w:r>
          </w:p>
        </w:tc>
        <w:tc>
          <w:tcPr>
            <w:tcW w:type="dxa" w:w="17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0" w:before="0" w:line="260"/>
              <w:jc w:val="left"/>
            </w:pPr>
            <w:r>
              <w:rPr>
                <w:rFonts w:ascii="Times New Roman" w:cs="Times New Roman" w:eastAsia="Times New Roman" w:hAnsi="Times New Roman"/>
                <w:b w:val="false"/>
                <w:bCs w:val="false"/>
                <w:sz w:val="20"/>
                <w:szCs w:val="20"/>
              </w:rPr>
              <w:t xml:space="preserve">Точность</w:t>
            </w:r>
          </w:p>
        </w:tc>
      </w:tr>
      <w:tr>
        <w:trPr>
          <w:tblHeader w:val="false"/>
        </w:trPr>
        <w:tc>
          <w:tcPr>
            <w:tcW w:type="dxa" w:w="3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0" w:before="0" w:line="260"/>
              <w:jc w:val="left"/>
            </w:pPr>
            <w:r>
              <w:rPr>
                <w:rFonts w:ascii="Times New Roman" w:cs="Times New Roman" w:eastAsia="Times New Roman" w:hAnsi="Times New Roman"/>
                <w:b w:val="false"/>
                <w:bCs w:val="false"/>
                <w:sz w:val="20"/>
                <w:szCs w:val="20"/>
              </w:rPr>
              <w:t xml:space="preserve">Число ошибок согласования</w:t>
            </w:r>
          </w:p>
        </w:tc>
        <w:tc>
          <w:tcPr>
            <w:tcW w:type="dxa" w:w="25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0" w:before="0" w:line="260"/>
              <w:jc w:val="left"/>
            </w:pPr>
            <w:r>
              <w:rPr>
                <w:rFonts w:ascii="Times New Roman" w:cs="Times New Roman" w:eastAsia="Times New Roman" w:hAnsi="Times New Roman"/>
                <w:b w:val="false"/>
                <w:bCs w:val="false"/>
                <w:sz w:val="20"/>
                <w:szCs w:val="20"/>
              </w:rPr>
              <w:t xml:space="preserve">agreement_errors</w:t>
            </w:r>
          </w:p>
        </w:tc>
        <w:tc>
          <w:tcPr>
            <w:tcW w:type="dxa" w:w="16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0" w:before="0" w:line="260"/>
              <w:jc w:val="left"/>
            </w:pPr>
            <w:r>
              <w:rPr>
                <w:rFonts w:ascii="Times New Roman" w:cs="Times New Roman" w:eastAsia="Times New Roman" w:hAnsi="Times New Roman"/>
                <w:b w:val="false"/>
                <w:bCs w:val="false"/>
                <w:sz w:val="20"/>
                <w:szCs w:val="20"/>
              </w:rPr>
              <w:t xml:space="preserve">Лингвистические</w:t>
            </w:r>
          </w:p>
        </w:tc>
        <w:tc>
          <w:tcPr>
            <w:tcW w:type="dxa" w:w="17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0" w:before="0" w:line="260"/>
              <w:jc w:val="left"/>
            </w:pPr>
            <w:r>
              <w:rPr>
                <w:rFonts w:ascii="Times New Roman" w:cs="Times New Roman" w:eastAsia="Times New Roman" w:hAnsi="Times New Roman"/>
                <w:b w:val="false"/>
                <w:bCs w:val="false"/>
                <w:sz w:val="20"/>
                <w:szCs w:val="20"/>
              </w:rPr>
              <w:t xml:space="preserve">Грамотность</w:t>
            </w:r>
          </w:p>
        </w:tc>
      </w:tr>
      <w:tr>
        <w:trPr>
          <w:tblHeader w:val="false"/>
        </w:trPr>
        <w:tc>
          <w:tcPr>
            <w:tcW w:type="dxa" w:w="3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0" w:before="0" w:line="260"/>
              <w:jc w:val="left"/>
            </w:pPr>
            <w:r>
              <w:rPr>
                <w:rFonts w:ascii="Times New Roman" w:cs="Times New Roman" w:eastAsia="Times New Roman" w:hAnsi="Times New Roman"/>
                <w:b w:val="false"/>
                <w:bCs w:val="false"/>
                <w:sz w:val="20"/>
                <w:szCs w:val="20"/>
              </w:rPr>
              <w:t xml:space="preserve">Синтаксическая глубина дерева разбора</w:t>
            </w:r>
          </w:p>
        </w:tc>
        <w:tc>
          <w:tcPr>
            <w:tcW w:type="dxa" w:w="25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0" w:before="0" w:line="260"/>
              <w:jc w:val="left"/>
            </w:pPr>
            <w:r>
              <w:rPr>
                <w:rFonts w:ascii="Times New Roman" w:cs="Times New Roman" w:eastAsia="Times New Roman" w:hAnsi="Times New Roman"/>
                <w:b w:val="false"/>
                <w:bCs w:val="false"/>
                <w:sz w:val="20"/>
                <w:szCs w:val="20"/>
              </w:rPr>
              <w:t xml:space="preserve">syntax_depth</w:t>
            </w:r>
          </w:p>
        </w:tc>
        <w:tc>
          <w:tcPr>
            <w:tcW w:type="dxa" w:w="16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0" w:before="0" w:line="260"/>
              <w:jc w:val="left"/>
            </w:pPr>
            <w:r>
              <w:rPr>
                <w:rFonts w:ascii="Times New Roman" w:cs="Times New Roman" w:eastAsia="Times New Roman" w:hAnsi="Times New Roman"/>
                <w:b w:val="false"/>
                <w:bCs w:val="false"/>
                <w:sz w:val="20"/>
                <w:szCs w:val="20"/>
              </w:rPr>
              <w:t xml:space="preserve">Лингвистические</w:t>
            </w:r>
          </w:p>
        </w:tc>
        <w:tc>
          <w:tcPr>
            <w:tcW w:type="dxa" w:w="17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0" w:before="0" w:line="260"/>
              <w:jc w:val="left"/>
            </w:pPr>
            <w:r>
              <w:rPr>
                <w:rFonts w:ascii="Times New Roman" w:cs="Times New Roman" w:eastAsia="Times New Roman" w:hAnsi="Times New Roman"/>
                <w:b w:val="false"/>
                <w:bCs w:val="false"/>
                <w:sz w:val="20"/>
                <w:szCs w:val="20"/>
              </w:rPr>
              <w:t xml:space="preserve">Грамотность</w:t>
            </w:r>
          </w:p>
        </w:tc>
      </w:tr>
      <w:tr>
        <w:trPr>
          <w:tblHeader w:val="false"/>
        </w:trPr>
        <w:tc>
          <w:tcPr>
            <w:tcW w:type="dxa" w:w="3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0" w:before="0" w:line="260"/>
              <w:jc w:val="left"/>
            </w:pPr>
            <w:r>
              <w:rPr>
                <w:rFonts w:ascii="Times New Roman" w:cs="Times New Roman" w:eastAsia="Times New Roman" w:hAnsi="Times New Roman"/>
                <w:b w:val="false"/>
                <w:bCs w:val="false"/>
                <w:sz w:val="20"/>
                <w:szCs w:val="20"/>
              </w:rPr>
              <w:t xml:space="preserve">Индекс формальности стиля</w:t>
            </w:r>
          </w:p>
        </w:tc>
        <w:tc>
          <w:tcPr>
            <w:tcW w:type="dxa" w:w="25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0" w:before="0" w:line="260"/>
              <w:jc w:val="left"/>
            </w:pPr>
            <w:r>
              <w:rPr>
                <w:rFonts w:ascii="Times New Roman" w:cs="Times New Roman" w:eastAsia="Times New Roman" w:hAnsi="Times New Roman"/>
                <w:b w:val="false"/>
                <w:bCs w:val="false"/>
                <w:sz w:val="20"/>
                <w:szCs w:val="20"/>
              </w:rPr>
              <w:t xml:space="preserve">formal_ratio</w:t>
            </w:r>
          </w:p>
        </w:tc>
        <w:tc>
          <w:tcPr>
            <w:tcW w:type="dxa" w:w="16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0" w:before="0" w:line="260"/>
              <w:jc w:val="left"/>
            </w:pPr>
            <w:r>
              <w:rPr>
                <w:rFonts w:ascii="Times New Roman" w:cs="Times New Roman" w:eastAsia="Times New Roman" w:hAnsi="Times New Roman"/>
                <w:b w:val="false"/>
                <w:bCs w:val="false"/>
                <w:sz w:val="20"/>
                <w:szCs w:val="20"/>
              </w:rPr>
              <w:t xml:space="preserve">Лингвистические</w:t>
            </w:r>
          </w:p>
        </w:tc>
        <w:tc>
          <w:tcPr>
            <w:tcW w:type="dxa" w:w="17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0" w:before="0" w:line="260"/>
              <w:jc w:val="left"/>
            </w:pPr>
            <w:r>
              <w:rPr>
                <w:rFonts w:ascii="Times New Roman" w:cs="Times New Roman" w:eastAsia="Times New Roman" w:hAnsi="Times New Roman"/>
                <w:b w:val="false"/>
                <w:bCs w:val="false"/>
                <w:sz w:val="20"/>
                <w:szCs w:val="20"/>
              </w:rPr>
              <w:t xml:space="preserve">Стиль</w:t>
            </w:r>
          </w:p>
        </w:tc>
      </w:tr>
      <w:tr>
        <w:trPr>
          <w:tblHeader w:val="false"/>
        </w:trPr>
        <w:tc>
          <w:tcPr>
            <w:tcW w:type="dxa" w:w="3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0" w:before="0" w:line="260"/>
              <w:jc w:val="left"/>
            </w:pPr>
            <w:r>
              <w:rPr>
                <w:rFonts w:ascii="Times New Roman" w:cs="Times New Roman" w:eastAsia="Times New Roman" w:hAnsi="Times New Roman"/>
                <w:b w:val="false"/>
                <w:bCs w:val="false"/>
                <w:sz w:val="20"/>
                <w:szCs w:val="20"/>
              </w:rPr>
              <w:t xml:space="preserve">Доля морфологических ошибок</w:t>
            </w:r>
          </w:p>
        </w:tc>
        <w:tc>
          <w:tcPr>
            <w:tcW w:type="dxa" w:w="25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0" w:before="0" w:line="260"/>
              <w:jc w:val="left"/>
            </w:pPr>
            <w:r>
              <w:rPr>
                <w:rFonts w:ascii="Times New Roman" w:cs="Times New Roman" w:eastAsia="Times New Roman" w:hAnsi="Times New Roman"/>
                <w:b w:val="false"/>
                <w:bCs w:val="false"/>
                <w:sz w:val="20"/>
                <w:szCs w:val="20"/>
              </w:rPr>
              <w:t xml:space="preserve">morphology_error_rate</w:t>
            </w:r>
          </w:p>
        </w:tc>
        <w:tc>
          <w:tcPr>
            <w:tcW w:type="dxa" w:w="16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0" w:before="0" w:line="260"/>
              <w:jc w:val="left"/>
            </w:pPr>
            <w:r>
              <w:rPr>
                <w:rFonts w:ascii="Times New Roman" w:cs="Times New Roman" w:eastAsia="Times New Roman" w:hAnsi="Times New Roman"/>
                <w:b w:val="false"/>
                <w:bCs w:val="false"/>
                <w:sz w:val="20"/>
                <w:szCs w:val="20"/>
              </w:rPr>
              <w:t xml:space="preserve">Лингвистические</w:t>
            </w:r>
          </w:p>
        </w:tc>
        <w:tc>
          <w:tcPr>
            <w:tcW w:type="dxa" w:w="17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0" w:before="0" w:line="260"/>
              <w:jc w:val="left"/>
            </w:pPr>
            <w:r>
              <w:rPr>
                <w:rFonts w:ascii="Times New Roman" w:cs="Times New Roman" w:eastAsia="Times New Roman" w:hAnsi="Times New Roman"/>
                <w:b w:val="false"/>
                <w:bCs w:val="false"/>
                <w:sz w:val="20"/>
                <w:szCs w:val="20"/>
              </w:rPr>
              <w:t xml:space="preserve">Грамотность</w:t>
            </w:r>
          </w:p>
        </w:tc>
      </w:tr>
      <w:tr>
        <w:trPr>
          <w:tblHeader w:val="false"/>
        </w:trPr>
        <w:tc>
          <w:tcPr>
            <w:tcW w:type="dxa" w:w="3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0" w:before="0" w:line="260"/>
              <w:jc w:val="left"/>
            </w:pPr>
            <w:r>
              <w:rPr>
                <w:rFonts w:ascii="Times New Roman" w:cs="Times New Roman" w:eastAsia="Times New Roman" w:hAnsi="Times New Roman"/>
                <w:b w:val="false"/>
                <w:bCs w:val="false"/>
                <w:sz w:val="20"/>
                <w:szCs w:val="20"/>
              </w:rPr>
              <w:t xml:space="preserve">Доля повторяющихся лемм</w:t>
            </w:r>
          </w:p>
        </w:tc>
        <w:tc>
          <w:tcPr>
            <w:tcW w:type="dxa" w:w="25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0" w:before="0" w:line="260"/>
              <w:jc w:val="left"/>
            </w:pPr>
            <w:r>
              <w:rPr>
                <w:rFonts w:ascii="Times New Roman" w:cs="Times New Roman" w:eastAsia="Times New Roman" w:hAnsi="Times New Roman"/>
                <w:b w:val="false"/>
                <w:bCs w:val="false"/>
                <w:sz w:val="20"/>
                <w:szCs w:val="20"/>
              </w:rPr>
              <w:t xml:space="preserve">repetition_ratio</w:t>
            </w:r>
          </w:p>
        </w:tc>
        <w:tc>
          <w:tcPr>
            <w:tcW w:type="dxa" w:w="16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0" w:before="0" w:line="260"/>
              <w:jc w:val="left"/>
            </w:pPr>
            <w:r>
              <w:rPr>
                <w:rFonts w:ascii="Times New Roman" w:cs="Times New Roman" w:eastAsia="Times New Roman" w:hAnsi="Times New Roman"/>
                <w:b w:val="false"/>
                <w:bCs w:val="false"/>
                <w:sz w:val="20"/>
                <w:szCs w:val="20"/>
              </w:rPr>
              <w:t xml:space="preserve">Лингвистические</w:t>
            </w:r>
          </w:p>
        </w:tc>
        <w:tc>
          <w:tcPr>
            <w:tcW w:type="dxa" w:w="17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0" w:before="0" w:line="260"/>
              <w:jc w:val="left"/>
            </w:pPr>
            <w:r>
              <w:rPr>
                <w:rFonts w:ascii="Times New Roman" w:cs="Times New Roman" w:eastAsia="Times New Roman" w:hAnsi="Times New Roman"/>
                <w:b w:val="false"/>
                <w:bCs w:val="false"/>
                <w:sz w:val="20"/>
                <w:szCs w:val="20"/>
              </w:rPr>
              <w:t xml:space="preserve">Грамотность</w:t>
            </w:r>
          </w:p>
        </w:tc>
      </w:tr>
      <w:tr>
        <w:trPr>
          <w:tblHeader w:val="false"/>
        </w:trPr>
        <w:tc>
          <w:tcPr>
            <w:tcW w:type="dxa" w:w="3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0" w:before="0" w:line="260"/>
              <w:jc w:val="left"/>
            </w:pPr>
            <w:r>
              <w:rPr>
                <w:rFonts w:ascii="Times New Roman" w:cs="Times New Roman" w:eastAsia="Times New Roman" w:hAnsi="Times New Roman"/>
                <w:b w:val="false"/>
                <w:bCs w:val="false"/>
                <w:sz w:val="20"/>
                <w:szCs w:val="20"/>
              </w:rPr>
              <w:t xml:space="preserve">Доля пропущенных именованных сущностей</w:t>
            </w:r>
          </w:p>
        </w:tc>
        <w:tc>
          <w:tcPr>
            <w:tcW w:type="dxa" w:w="25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0" w:before="0" w:line="260"/>
              <w:jc w:val="left"/>
            </w:pPr>
            <w:r>
              <w:rPr>
                <w:rFonts w:ascii="Times New Roman" w:cs="Times New Roman" w:eastAsia="Times New Roman" w:hAnsi="Times New Roman"/>
                <w:b w:val="false"/>
                <w:bCs w:val="false"/>
                <w:sz w:val="20"/>
                <w:szCs w:val="20"/>
              </w:rPr>
              <w:t xml:space="preserve">named_entity_missing_ratio</w:t>
            </w:r>
          </w:p>
        </w:tc>
        <w:tc>
          <w:tcPr>
            <w:tcW w:type="dxa" w:w="16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0" w:before="0" w:line="260"/>
              <w:jc w:val="left"/>
            </w:pPr>
            <w:r>
              <w:rPr>
                <w:rFonts w:ascii="Times New Roman" w:cs="Times New Roman" w:eastAsia="Times New Roman" w:hAnsi="Times New Roman"/>
                <w:b w:val="false"/>
                <w:bCs w:val="false"/>
                <w:sz w:val="20"/>
                <w:szCs w:val="20"/>
              </w:rPr>
              <w:t xml:space="preserve">Лингвистические</w:t>
            </w:r>
          </w:p>
        </w:tc>
        <w:tc>
          <w:tcPr>
            <w:tcW w:type="dxa" w:w="17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0" w:before="0" w:line="260"/>
              <w:jc w:val="left"/>
            </w:pPr>
            <w:r>
              <w:rPr>
                <w:rFonts w:ascii="Times New Roman" w:cs="Times New Roman" w:eastAsia="Times New Roman" w:hAnsi="Times New Roman"/>
                <w:b w:val="false"/>
                <w:bCs w:val="false"/>
                <w:sz w:val="20"/>
                <w:szCs w:val="20"/>
              </w:rPr>
              <w:t xml:space="preserve">Точность</w:t>
            </w:r>
          </w:p>
        </w:tc>
      </w:tr>
      <w:tr>
        <w:trPr>
          <w:tblHeader w:val="false"/>
        </w:trPr>
        <w:tc>
          <w:tcPr>
            <w:tcW w:type="dxa" w:w="3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0" w:before="0" w:line="260"/>
              <w:jc w:val="left"/>
            </w:pPr>
            <w:r>
              <w:rPr>
                <w:rFonts w:ascii="Times New Roman" w:cs="Times New Roman" w:eastAsia="Times New Roman" w:hAnsi="Times New Roman"/>
                <w:b w:val="false"/>
                <w:bCs w:val="false"/>
                <w:sz w:val="20"/>
                <w:szCs w:val="20"/>
              </w:rPr>
              <w:t xml:space="preserve">Доля латинских символов</w:t>
            </w:r>
          </w:p>
        </w:tc>
        <w:tc>
          <w:tcPr>
            <w:tcW w:type="dxa" w:w="25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0" w:before="0" w:line="260"/>
              <w:jc w:val="left"/>
            </w:pPr>
            <w:r>
              <w:rPr>
                <w:rFonts w:ascii="Times New Roman" w:cs="Times New Roman" w:eastAsia="Times New Roman" w:hAnsi="Times New Roman"/>
                <w:b w:val="false"/>
                <w:bCs w:val="false"/>
                <w:sz w:val="20"/>
                <w:szCs w:val="20"/>
              </w:rPr>
              <w:t xml:space="preserve">latin_ratio</w:t>
            </w:r>
          </w:p>
        </w:tc>
        <w:tc>
          <w:tcPr>
            <w:tcW w:type="dxa" w:w="16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0" w:before="0" w:line="260"/>
              <w:jc w:val="left"/>
            </w:pPr>
            <w:r>
              <w:rPr>
                <w:rFonts w:ascii="Times New Roman" w:cs="Times New Roman" w:eastAsia="Times New Roman" w:hAnsi="Times New Roman"/>
                <w:b w:val="false"/>
                <w:bCs w:val="false"/>
                <w:sz w:val="20"/>
                <w:szCs w:val="20"/>
              </w:rPr>
              <w:t xml:space="preserve">Лингвистические</w:t>
            </w:r>
          </w:p>
        </w:tc>
        <w:tc>
          <w:tcPr>
            <w:tcW w:type="dxa" w:w="17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0" w:before="0" w:line="260"/>
              <w:jc w:val="left"/>
            </w:pPr>
            <w:r>
              <w:rPr>
                <w:rFonts w:ascii="Times New Roman" w:cs="Times New Roman" w:eastAsia="Times New Roman" w:hAnsi="Times New Roman"/>
                <w:b w:val="false"/>
                <w:bCs w:val="false"/>
                <w:sz w:val="20"/>
                <w:szCs w:val="20"/>
              </w:rPr>
              <w:t xml:space="preserve">Точность</w:t>
            </w:r>
          </w:p>
        </w:tc>
      </w:tr>
      <w:tr>
        <w:trPr>
          <w:tblHeader w:val="false"/>
        </w:trPr>
        <w:tc>
          <w:tcPr>
            <w:tcW w:type="dxa" w:w="3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0" w:before="0" w:line="260"/>
              <w:jc w:val="left"/>
            </w:pPr>
            <w:r>
              <w:rPr>
                <w:rFonts w:ascii="Times New Roman" w:cs="Times New Roman" w:eastAsia="Times New Roman" w:hAnsi="Times New Roman"/>
                <w:b w:val="false"/>
                <w:bCs w:val="false"/>
                <w:sz w:val="20"/>
                <w:szCs w:val="20"/>
              </w:rPr>
              <w:t xml:space="preserve">Средний ранг редкости слов</w:t>
            </w:r>
          </w:p>
        </w:tc>
        <w:tc>
          <w:tcPr>
            <w:tcW w:type="dxa" w:w="25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0" w:before="0" w:line="260"/>
              <w:jc w:val="left"/>
            </w:pPr>
            <w:r>
              <w:rPr>
                <w:rFonts w:ascii="Times New Roman" w:cs="Times New Roman" w:eastAsia="Times New Roman" w:hAnsi="Times New Roman"/>
                <w:b w:val="false"/>
                <w:bCs w:val="false"/>
                <w:sz w:val="20"/>
                <w:szCs w:val="20"/>
              </w:rPr>
              <w:t xml:space="preserve">avg_word_rank</w:t>
            </w:r>
          </w:p>
        </w:tc>
        <w:tc>
          <w:tcPr>
            <w:tcW w:type="dxa" w:w="16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0" w:before="0" w:line="260"/>
              <w:jc w:val="left"/>
            </w:pPr>
            <w:r>
              <w:rPr>
                <w:rFonts w:ascii="Times New Roman" w:cs="Times New Roman" w:eastAsia="Times New Roman" w:hAnsi="Times New Roman"/>
                <w:b w:val="false"/>
                <w:bCs w:val="false"/>
                <w:sz w:val="20"/>
                <w:szCs w:val="20"/>
              </w:rPr>
              <w:t xml:space="preserve">Лингвистические</w:t>
            </w:r>
          </w:p>
        </w:tc>
        <w:tc>
          <w:tcPr>
            <w:tcW w:type="dxa" w:w="17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0" w:before="0" w:line="260"/>
              <w:jc w:val="left"/>
            </w:pPr>
            <w:r>
              <w:rPr>
                <w:rFonts w:ascii="Times New Roman" w:cs="Times New Roman" w:eastAsia="Times New Roman" w:hAnsi="Times New Roman"/>
                <w:b w:val="false"/>
                <w:bCs w:val="false"/>
                <w:sz w:val="20"/>
                <w:szCs w:val="20"/>
              </w:rPr>
              <w:t xml:space="preserve">Грамотность</w:t>
            </w:r>
          </w:p>
        </w:tc>
      </w:tr>
      <w:tr>
        <w:trPr>
          <w:tblHeader w:val="false"/>
        </w:trPr>
        <w:tc>
          <w:tcPr>
            <w:tcW w:type="dxa" w:w="3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0" w:before="0" w:line="260"/>
              <w:jc w:val="left"/>
            </w:pPr>
            <w:r>
              <w:rPr>
                <w:rFonts w:ascii="Times New Roman" w:cs="Times New Roman" w:eastAsia="Times New Roman" w:hAnsi="Times New Roman"/>
                <w:b w:val="false"/>
                <w:bCs w:val="false"/>
                <w:sz w:val="20"/>
                <w:szCs w:val="20"/>
              </w:rPr>
              <w:t xml:space="preserve">Доля непереведённых слов</w:t>
            </w:r>
          </w:p>
        </w:tc>
        <w:tc>
          <w:tcPr>
            <w:tcW w:type="dxa" w:w="25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0" w:before="0" w:line="260"/>
              <w:jc w:val="left"/>
            </w:pPr>
            <w:r>
              <w:rPr>
                <w:rFonts w:ascii="Times New Roman" w:cs="Times New Roman" w:eastAsia="Times New Roman" w:hAnsi="Times New Roman"/>
                <w:b w:val="false"/>
                <w:bCs w:val="false"/>
                <w:sz w:val="20"/>
                <w:szCs w:val="20"/>
              </w:rPr>
              <w:t xml:space="preserve">untranslated_ratio</w:t>
            </w:r>
          </w:p>
        </w:tc>
        <w:tc>
          <w:tcPr>
            <w:tcW w:type="dxa" w:w="16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0" w:before="0" w:line="260"/>
              <w:jc w:val="left"/>
            </w:pPr>
            <w:r>
              <w:rPr>
                <w:rFonts w:ascii="Times New Roman" w:cs="Times New Roman" w:eastAsia="Times New Roman" w:hAnsi="Times New Roman"/>
                <w:b w:val="false"/>
                <w:bCs w:val="false"/>
                <w:sz w:val="20"/>
                <w:szCs w:val="20"/>
              </w:rPr>
              <w:t xml:space="preserve">Лингвистические</w:t>
            </w:r>
          </w:p>
        </w:tc>
        <w:tc>
          <w:tcPr>
            <w:tcW w:type="dxa" w:w="17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0" w:before="0" w:line="260"/>
              <w:jc w:val="left"/>
            </w:pPr>
            <w:r>
              <w:rPr>
                <w:rFonts w:ascii="Times New Roman" w:cs="Times New Roman" w:eastAsia="Times New Roman" w:hAnsi="Times New Roman"/>
                <w:b w:val="false"/>
                <w:bCs w:val="false"/>
                <w:sz w:val="20"/>
                <w:szCs w:val="20"/>
              </w:rPr>
              <w:t xml:space="preserve">Точность</w:t>
            </w:r>
          </w:p>
        </w:tc>
      </w:tr>
      <w:tr>
        <w:trPr>
          <w:tblHeader w:val="false"/>
        </w:trPr>
        <w:tc>
          <w:tcPr>
            <w:tcW w:type="dxa" w:w="3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0" w:before="0" w:line="260"/>
              <w:jc w:val="left"/>
            </w:pPr>
            <w:r>
              <w:rPr>
                <w:rFonts w:ascii="Times New Roman" w:cs="Times New Roman" w:eastAsia="Times New Roman" w:hAnsi="Times New Roman"/>
                <w:b w:val="false"/>
                <w:bCs w:val="false"/>
                <w:sz w:val="20"/>
                <w:szCs w:val="20"/>
              </w:rPr>
              <w:t xml:space="preserve">Косинусное сходство эмбеддингов</w:t>
            </w:r>
          </w:p>
        </w:tc>
        <w:tc>
          <w:tcPr>
            <w:tcW w:type="dxa" w:w="25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0" w:before="0" w:line="260"/>
              <w:jc w:val="left"/>
            </w:pPr>
            <w:r>
              <w:rPr>
                <w:rFonts w:ascii="Times New Roman" w:cs="Times New Roman" w:eastAsia="Times New Roman" w:hAnsi="Times New Roman"/>
                <w:b w:val="false"/>
                <w:bCs w:val="false"/>
                <w:sz w:val="20"/>
                <w:szCs w:val="20"/>
              </w:rPr>
              <w:t xml:space="preserve">cosine_similarity</w:t>
            </w:r>
          </w:p>
        </w:tc>
        <w:tc>
          <w:tcPr>
            <w:tcW w:type="dxa" w:w="16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0" w:before="0" w:line="260"/>
              <w:jc w:val="left"/>
            </w:pPr>
            <w:r>
              <w:rPr>
                <w:rFonts w:ascii="Times New Roman" w:cs="Times New Roman" w:eastAsia="Times New Roman" w:hAnsi="Times New Roman"/>
                <w:b w:val="false"/>
                <w:bCs w:val="false"/>
                <w:sz w:val="20"/>
                <w:szCs w:val="20"/>
              </w:rPr>
              <w:t xml:space="preserve">Семантические</w:t>
            </w:r>
          </w:p>
        </w:tc>
        <w:tc>
          <w:tcPr>
            <w:tcW w:type="dxa" w:w="17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0" w:before="0" w:line="260"/>
              <w:jc w:val="left"/>
            </w:pPr>
            <w:r>
              <w:rPr>
                <w:rFonts w:ascii="Times New Roman" w:cs="Times New Roman" w:eastAsia="Times New Roman" w:hAnsi="Times New Roman"/>
                <w:b w:val="false"/>
                <w:bCs w:val="false"/>
                <w:sz w:val="20"/>
                <w:szCs w:val="20"/>
              </w:rPr>
              <w:t xml:space="preserve">Точность</w:t>
            </w:r>
          </w:p>
        </w:tc>
      </w:tr>
      <w:tr>
        <w:trPr>
          <w:tblHeader w:val="false"/>
        </w:trPr>
        <w:tc>
          <w:tcPr>
            <w:tcW w:type="dxa" w:w="3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0" w:before="0" w:line="260"/>
              <w:jc w:val="left"/>
            </w:pPr>
            <w:r>
              <w:rPr>
                <w:rFonts w:ascii="Times New Roman" w:cs="Times New Roman" w:eastAsia="Times New Roman" w:hAnsi="Times New Roman"/>
                <w:b w:val="false"/>
                <w:bCs w:val="false"/>
                <w:sz w:val="20"/>
                <w:szCs w:val="20"/>
              </w:rPr>
              <w:t xml:space="preserve">Евклидово расстояние эмбеддингов</w:t>
            </w:r>
          </w:p>
        </w:tc>
        <w:tc>
          <w:tcPr>
            <w:tcW w:type="dxa" w:w="25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0" w:before="0" w:line="260"/>
              <w:jc w:val="left"/>
            </w:pPr>
            <w:r>
              <w:rPr>
                <w:rFonts w:ascii="Times New Roman" w:cs="Times New Roman" w:eastAsia="Times New Roman" w:hAnsi="Times New Roman"/>
                <w:b w:val="false"/>
                <w:bCs w:val="false"/>
                <w:sz w:val="20"/>
                <w:szCs w:val="20"/>
              </w:rPr>
              <w:t xml:space="preserve">embedding_distance</w:t>
            </w:r>
          </w:p>
        </w:tc>
        <w:tc>
          <w:tcPr>
            <w:tcW w:type="dxa" w:w="16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0" w:before="0" w:line="260"/>
              <w:jc w:val="left"/>
            </w:pPr>
            <w:r>
              <w:rPr>
                <w:rFonts w:ascii="Times New Roman" w:cs="Times New Roman" w:eastAsia="Times New Roman" w:hAnsi="Times New Roman"/>
                <w:b w:val="false"/>
                <w:bCs w:val="false"/>
                <w:sz w:val="20"/>
                <w:szCs w:val="20"/>
              </w:rPr>
              <w:t xml:space="preserve">Семантические</w:t>
            </w:r>
          </w:p>
        </w:tc>
        <w:tc>
          <w:tcPr>
            <w:tcW w:type="dxa" w:w="17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0" w:before="0" w:line="260"/>
              <w:jc w:val="left"/>
            </w:pPr>
            <w:r>
              <w:rPr>
                <w:rFonts w:ascii="Times New Roman" w:cs="Times New Roman" w:eastAsia="Times New Roman" w:hAnsi="Times New Roman"/>
                <w:b w:val="false"/>
                <w:bCs w:val="false"/>
                <w:sz w:val="20"/>
                <w:szCs w:val="20"/>
              </w:rPr>
              <w:t xml:space="preserve">Точность</w:t>
            </w:r>
          </w:p>
        </w:tc>
      </w:tr>
      <w:tr>
        <w:trPr>
          <w:tblHeader w:val="false"/>
        </w:trPr>
        <w:tc>
          <w:tcPr>
            <w:tcW w:type="dxa" w:w="3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0" w:before="0" w:line="260"/>
              <w:jc w:val="left"/>
            </w:pPr>
            <w:r>
              <w:rPr>
                <w:rFonts w:ascii="Times New Roman" w:cs="Times New Roman" w:eastAsia="Times New Roman" w:hAnsi="Times New Roman"/>
                <w:b w:val="false"/>
                <w:bCs w:val="false"/>
                <w:sz w:val="20"/>
                <w:szCs w:val="20"/>
              </w:rPr>
              <w:t xml:space="preserve">Среднее значение лог-вероятности</w:t>
            </w:r>
          </w:p>
        </w:tc>
        <w:tc>
          <w:tcPr>
            <w:tcW w:type="dxa" w:w="25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0" w:before="0" w:line="260"/>
              <w:jc w:val="left"/>
            </w:pPr>
            <w:r>
              <w:rPr>
                <w:rFonts w:ascii="Times New Roman" w:cs="Times New Roman" w:eastAsia="Times New Roman" w:hAnsi="Times New Roman"/>
                <w:b w:val="false"/>
                <w:bCs w:val="false"/>
                <w:sz w:val="20"/>
                <w:szCs w:val="20"/>
              </w:rPr>
              <w:t xml:space="preserve">mean_log_prob</w:t>
            </w:r>
          </w:p>
        </w:tc>
        <w:tc>
          <w:tcPr>
            <w:tcW w:type="dxa" w:w="16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0" w:before="0" w:line="260"/>
              <w:jc w:val="left"/>
            </w:pPr>
            <w:r>
              <w:rPr>
                <w:rFonts w:ascii="Times New Roman" w:cs="Times New Roman" w:eastAsia="Times New Roman" w:hAnsi="Times New Roman"/>
                <w:b w:val="false"/>
                <w:bCs w:val="false"/>
                <w:sz w:val="20"/>
                <w:szCs w:val="20"/>
              </w:rPr>
              <w:t xml:space="preserve">Языковая гладкость</w:t>
            </w:r>
          </w:p>
        </w:tc>
        <w:tc>
          <w:tcPr>
            <w:tcW w:type="dxa" w:w="17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0" w:before="0" w:line="260"/>
              <w:jc w:val="left"/>
            </w:pPr>
            <w:r>
              <w:rPr>
                <w:rFonts w:ascii="Times New Roman" w:cs="Times New Roman" w:eastAsia="Times New Roman" w:hAnsi="Times New Roman"/>
                <w:b w:val="false"/>
                <w:bCs w:val="false"/>
                <w:sz w:val="20"/>
                <w:szCs w:val="20"/>
              </w:rPr>
              <w:t xml:space="preserve">Грамотность</w:t>
            </w:r>
          </w:p>
        </w:tc>
      </w:tr>
      <w:tr>
        <w:trPr>
          <w:tblHeader w:val="false"/>
        </w:trPr>
        <w:tc>
          <w:tcPr>
            <w:tcW w:type="dxa" w:w="3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0" w:before="0" w:line="260"/>
              <w:jc w:val="left"/>
            </w:pPr>
            <w:r>
              <w:rPr>
                <w:rFonts w:ascii="Times New Roman" w:cs="Times New Roman" w:eastAsia="Times New Roman" w:hAnsi="Times New Roman"/>
                <w:b w:val="false"/>
                <w:bCs w:val="false"/>
                <w:sz w:val="20"/>
                <w:szCs w:val="20"/>
              </w:rPr>
              <w:t xml:space="preserve">Перплексия</w:t>
            </w:r>
          </w:p>
        </w:tc>
        <w:tc>
          <w:tcPr>
            <w:tcW w:type="dxa" w:w="25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0" w:before="0" w:line="260"/>
              <w:jc w:val="left"/>
            </w:pPr>
            <w:r>
              <w:rPr>
                <w:rFonts w:ascii="Times New Roman" w:cs="Times New Roman" w:eastAsia="Times New Roman" w:hAnsi="Times New Roman"/>
                <w:b w:val="false"/>
                <w:bCs w:val="false"/>
                <w:sz w:val="20"/>
                <w:szCs w:val="20"/>
              </w:rPr>
              <w:t xml:space="preserve">perplexity</w:t>
            </w:r>
          </w:p>
        </w:tc>
        <w:tc>
          <w:tcPr>
            <w:tcW w:type="dxa" w:w="16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0" w:before="0" w:line="260"/>
              <w:jc w:val="left"/>
            </w:pPr>
            <w:r>
              <w:rPr>
                <w:rFonts w:ascii="Times New Roman" w:cs="Times New Roman" w:eastAsia="Times New Roman" w:hAnsi="Times New Roman"/>
                <w:b w:val="false"/>
                <w:bCs w:val="false"/>
                <w:sz w:val="20"/>
                <w:szCs w:val="20"/>
              </w:rPr>
              <w:t xml:space="preserve">Языковая гладкость</w:t>
            </w:r>
          </w:p>
        </w:tc>
        <w:tc>
          <w:tcPr>
            <w:tcW w:type="dxa" w:w="17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0" w:before="0" w:line="260"/>
              <w:jc w:val="left"/>
            </w:pPr>
            <w:r>
              <w:rPr>
                <w:rFonts w:ascii="Times New Roman" w:cs="Times New Roman" w:eastAsia="Times New Roman" w:hAnsi="Times New Roman"/>
                <w:b w:val="false"/>
                <w:bCs w:val="false"/>
                <w:sz w:val="20"/>
                <w:szCs w:val="20"/>
              </w:rPr>
              <w:t xml:space="preserve">Грамотность</w:t>
            </w:r>
          </w:p>
        </w:tc>
      </w:tr>
      <w:tr>
        <w:trPr>
          <w:tblHeader w:val="false"/>
        </w:trPr>
        <w:tc>
          <w:tcPr>
            <w:tcW w:type="dxa" w:w="3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0" w:before="0" w:line="260"/>
              <w:jc w:val="left"/>
            </w:pPr>
            <w:r>
              <w:rPr>
                <w:rFonts w:ascii="Times New Roman" w:cs="Times New Roman" w:eastAsia="Times New Roman" w:hAnsi="Times New Roman"/>
                <w:b w:val="false"/>
                <w:bCs w:val="false"/>
                <w:sz w:val="20"/>
                <w:szCs w:val="20"/>
              </w:rPr>
              <w:t xml:space="preserve">Дисперсия лог-вероятностей по словам</w:t>
            </w:r>
          </w:p>
        </w:tc>
        <w:tc>
          <w:tcPr>
            <w:tcW w:type="dxa" w:w="25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0" w:before="0" w:line="260"/>
              <w:jc w:val="left"/>
            </w:pPr>
            <w:r>
              <w:rPr>
                <w:rFonts w:ascii="Times New Roman" w:cs="Times New Roman" w:eastAsia="Times New Roman" w:hAnsi="Times New Roman"/>
                <w:b w:val="false"/>
                <w:bCs w:val="false"/>
                <w:sz w:val="20"/>
                <w:szCs w:val="20"/>
              </w:rPr>
              <w:t xml:space="preserve">token_ppl_variance</w:t>
            </w:r>
          </w:p>
        </w:tc>
        <w:tc>
          <w:tcPr>
            <w:tcW w:type="dxa" w:w="16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0" w:before="0" w:line="260"/>
              <w:jc w:val="left"/>
            </w:pPr>
            <w:r>
              <w:rPr>
                <w:rFonts w:ascii="Times New Roman" w:cs="Times New Roman" w:eastAsia="Times New Roman" w:hAnsi="Times New Roman"/>
                <w:b w:val="false"/>
                <w:bCs w:val="false"/>
                <w:sz w:val="20"/>
                <w:szCs w:val="20"/>
              </w:rPr>
              <w:t xml:space="preserve">Языковая гладкость</w:t>
            </w:r>
          </w:p>
        </w:tc>
        <w:tc>
          <w:tcPr>
            <w:tcW w:type="dxa" w:w="17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0" w:before="0" w:line="260"/>
              <w:jc w:val="left"/>
            </w:pPr>
            <w:r>
              <w:rPr>
                <w:rFonts w:ascii="Times New Roman" w:cs="Times New Roman" w:eastAsia="Times New Roman" w:hAnsi="Times New Roman"/>
                <w:b w:val="false"/>
                <w:bCs w:val="false"/>
                <w:sz w:val="20"/>
                <w:szCs w:val="20"/>
              </w:rPr>
              <w:t xml:space="preserve">Грамотность</w:t>
            </w:r>
          </w:p>
        </w:tc>
      </w:tr>
      <w:tr>
        <w:trPr>
          <w:tblHeader w:val="false"/>
        </w:trPr>
        <w:tc>
          <w:tcPr>
            <w:tcW w:type="dxa" w:w="3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0" w:before="0" w:line="260"/>
              <w:jc w:val="left"/>
            </w:pPr>
            <w:r>
              <w:rPr>
                <w:rFonts w:ascii="Times New Roman" w:cs="Times New Roman" w:eastAsia="Times New Roman" w:hAnsi="Times New Roman"/>
                <w:b w:val="false"/>
                <w:bCs w:val="false"/>
                <w:sz w:val="20"/>
                <w:szCs w:val="20"/>
              </w:rPr>
              <w:t xml:space="preserve">Минимальная лог-вероятность слова</w:t>
            </w:r>
          </w:p>
        </w:tc>
        <w:tc>
          <w:tcPr>
            <w:tcW w:type="dxa" w:w="25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0" w:before="0" w:line="260"/>
              <w:jc w:val="left"/>
            </w:pPr>
            <w:r>
              <w:rPr>
                <w:rFonts w:ascii="Times New Roman" w:cs="Times New Roman" w:eastAsia="Times New Roman" w:hAnsi="Times New Roman"/>
                <w:b w:val="false"/>
                <w:bCs w:val="false"/>
                <w:sz w:val="20"/>
                <w:szCs w:val="20"/>
              </w:rPr>
              <w:t xml:space="preserve">min_token_log_prob</w:t>
            </w:r>
          </w:p>
        </w:tc>
        <w:tc>
          <w:tcPr>
            <w:tcW w:type="dxa" w:w="16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0" w:before="0" w:line="260"/>
              <w:jc w:val="left"/>
            </w:pPr>
            <w:r>
              <w:rPr>
                <w:rFonts w:ascii="Times New Roman" w:cs="Times New Roman" w:eastAsia="Times New Roman" w:hAnsi="Times New Roman"/>
                <w:b w:val="false"/>
                <w:bCs w:val="false"/>
                <w:sz w:val="20"/>
                <w:szCs w:val="20"/>
              </w:rPr>
              <w:t xml:space="preserve">Языковая гладкость</w:t>
            </w:r>
          </w:p>
        </w:tc>
        <w:tc>
          <w:tcPr>
            <w:tcW w:type="dxa" w:w="17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0" w:before="0" w:line="260"/>
              <w:jc w:val="left"/>
            </w:pPr>
            <w:r>
              <w:rPr>
                <w:rFonts w:ascii="Times New Roman" w:cs="Times New Roman" w:eastAsia="Times New Roman" w:hAnsi="Times New Roman"/>
                <w:b w:val="false"/>
                <w:bCs w:val="false"/>
                <w:sz w:val="20"/>
                <w:szCs w:val="20"/>
              </w:rPr>
              <w:t xml:space="preserve">Грамотность</w:t>
            </w:r>
          </w:p>
        </w:tc>
      </w:tr>
      <w:tr>
        <w:trPr>
          <w:tblHeader w:val="false"/>
        </w:trPr>
        <w:tc>
          <w:tcPr>
            <w:tcW w:type="dxa" w:w="3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0" w:before="0" w:line="260"/>
              <w:jc w:val="left"/>
            </w:pPr>
            <w:r>
              <w:rPr>
                <w:rFonts w:ascii="Times New Roman" w:cs="Times New Roman" w:eastAsia="Times New Roman" w:hAnsi="Times New Roman"/>
                <w:b w:val="false"/>
                <w:bCs w:val="false"/>
                <w:sz w:val="20"/>
                <w:szCs w:val="20"/>
              </w:rPr>
              <w:t xml:space="preserve">Косинусное сходство при норм. длине</w:t>
            </w:r>
          </w:p>
        </w:tc>
        <w:tc>
          <w:tcPr>
            <w:tcW w:type="dxa" w:w="25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0" w:before="0" w:line="260"/>
              <w:jc w:val="left"/>
            </w:pPr>
            <w:r>
              <w:rPr>
                <w:rFonts w:ascii="Times New Roman" w:cs="Times New Roman" w:eastAsia="Times New Roman" w:hAnsi="Times New Roman"/>
                <w:b w:val="false"/>
                <w:bCs w:val="false"/>
                <w:sz w:val="20"/>
                <w:szCs w:val="20"/>
              </w:rPr>
              <w:t xml:space="preserve">cosine_x_length_ok</w:t>
            </w:r>
          </w:p>
        </w:tc>
        <w:tc>
          <w:tcPr>
            <w:tcW w:type="dxa" w:w="16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0" w:before="0" w:line="260"/>
              <w:jc w:val="left"/>
            </w:pPr>
            <w:r>
              <w:rPr>
                <w:rFonts w:ascii="Times New Roman" w:cs="Times New Roman" w:eastAsia="Times New Roman" w:hAnsi="Times New Roman"/>
                <w:b w:val="false"/>
                <w:bCs w:val="false"/>
                <w:sz w:val="20"/>
                <w:szCs w:val="20"/>
              </w:rPr>
              <w:t xml:space="preserve">Производные</w:t>
            </w:r>
          </w:p>
        </w:tc>
        <w:tc>
          <w:tcPr>
            <w:tcW w:type="dxa" w:w="17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0" w:before="0" w:line="260"/>
              <w:jc w:val="left"/>
            </w:pPr>
            <w:r>
              <w:rPr>
                <w:rFonts w:ascii="Times New Roman" w:cs="Times New Roman" w:eastAsia="Times New Roman" w:hAnsi="Times New Roman"/>
                <w:b w:val="false"/>
                <w:bCs w:val="false"/>
                <w:sz w:val="20"/>
                <w:szCs w:val="20"/>
              </w:rPr>
              <w:t xml:space="preserve">Точность</w:t>
            </w:r>
          </w:p>
        </w:tc>
      </w:tr>
      <w:tr>
        <w:trPr>
          <w:tblHeader w:val="false"/>
        </w:trPr>
        <w:tc>
          <w:tcPr>
            <w:tcW w:type="dxa" w:w="3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0" w:before="0" w:line="260"/>
              <w:jc w:val="left"/>
            </w:pPr>
            <w:r>
              <w:rPr>
                <w:rFonts w:ascii="Times New Roman" w:cs="Times New Roman" w:eastAsia="Times New Roman" w:hAnsi="Times New Roman"/>
                <w:b w:val="false"/>
                <w:bCs w:val="false"/>
                <w:sz w:val="20"/>
                <w:szCs w:val="20"/>
              </w:rPr>
              <w:t xml:space="preserve">Логарифм удвоенной перплексии</w:t>
            </w:r>
          </w:p>
        </w:tc>
        <w:tc>
          <w:tcPr>
            <w:tcW w:type="dxa" w:w="25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0" w:before="0" w:line="260"/>
              <w:jc w:val="left"/>
            </w:pPr>
            <w:r>
              <w:rPr>
                <w:rFonts w:ascii="Times New Roman" w:cs="Times New Roman" w:eastAsia="Times New Roman" w:hAnsi="Times New Roman"/>
                <w:b w:val="false"/>
                <w:bCs w:val="false"/>
                <w:sz w:val="20"/>
                <w:szCs w:val="20"/>
              </w:rPr>
              <w:t xml:space="preserve">log_perplexity</w:t>
            </w:r>
          </w:p>
        </w:tc>
        <w:tc>
          <w:tcPr>
            <w:tcW w:type="dxa" w:w="16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0" w:before="0" w:line="260"/>
              <w:jc w:val="left"/>
            </w:pPr>
            <w:r>
              <w:rPr>
                <w:rFonts w:ascii="Times New Roman" w:cs="Times New Roman" w:eastAsia="Times New Roman" w:hAnsi="Times New Roman"/>
                <w:b w:val="false"/>
                <w:bCs w:val="false"/>
                <w:sz w:val="20"/>
                <w:szCs w:val="20"/>
              </w:rPr>
              <w:t xml:space="preserve">Производные</w:t>
            </w:r>
          </w:p>
        </w:tc>
        <w:tc>
          <w:tcPr>
            <w:tcW w:type="dxa" w:w="17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0" w:before="0" w:line="260"/>
              <w:jc w:val="left"/>
            </w:pPr>
            <w:r>
              <w:rPr>
                <w:rFonts w:ascii="Times New Roman" w:cs="Times New Roman" w:eastAsia="Times New Roman" w:hAnsi="Times New Roman"/>
                <w:b w:val="false"/>
                <w:bCs w:val="false"/>
                <w:sz w:val="20"/>
                <w:szCs w:val="20"/>
              </w:rPr>
              <w:t xml:space="preserve">Грамотность</w:t>
            </w:r>
          </w:p>
        </w:tc>
      </w:tr>
      <w:tr>
        <w:trPr>
          <w:tblHeader w:val="false"/>
        </w:trPr>
        <w:tc>
          <w:tcPr>
            <w:tcW w:type="dxa" w:w="3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0" w:before="0" w:line="260"/>
              <w:jc w:val="left"/>
            </w:pPr>
            <w:r>
              <w:rPr>
                <w:rFonts w:ascii="Times New Roman" w:cs="Times New Roman" w:eastAsia="Times New Roman" w:hAnsi="Times New Roman"/>
                <w:b w:val="false"/>
                <w:bCs w:val="false"/>
                <w:sz w:val="20"/>
                <w:szCs w:val="20"/>
              </w:rPr>
              <w:t xml:space="preserve">Косинусное сходство / лог-перплексия</w:t>
            </w:r>
          </w:p>
        </w:tc>
        <w:tc>
          <w:tcPr>
            <w:tcW w:type="dxa" w:w="25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0" w:before="0" w:line="260"/>
              <w:jc w:val="left"/>
            </w:pPr>
            <w:r>
              <w:rPr>
                <w:rFonts w:ascii="Times New Roman" w:cs="Times New Roman" w:eastAsia="Times New Roman" w:hAnsi="Times New Roman"/>
                <w:b w:val="false"/>
                <w:bCs w:val="false"/>
                <w:sz w:val="20"/>
                <w:szCs w:val="20"/>
              </w:rPr>
              <w:t xml:space="preserve">cosine_per_logppl</w:t>
            </w:r>
          </w:p>
        </w:tc>
        <w:tc>
          <w:tcPr>
            <w:tcW w:type="dxa" w:w="16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0" w:before="0" w:line="260"/>
              <w:jc w:val="left"/>
            </w:pPr>
            <w:r>
              <w:rPr>
                <w:rFonts w:ascii="Times New Roman" w:cs="Times New Roman" w:eastAsia="Times New Roman" w:hAnsi="Times New Roman"/>
                <w:b w:val="false"/>
                <w:bCs w:val="false"/>
                <w:sz w:val="20"/>
                <w:szCs w:val="20"/>
              </w:rPr>
              <w:t xml:space="preserve">Производные</w:t>
            </w:r>
          </w:p>
        </w:tc>
        <w:tc>
          <w:tcPr>
            <w:tcW w:type="dxa" w:w="17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0" w:before="0" w:line="260"/>
              <w:jc w:val="left"/>
            </w:pPr>
            <w:r>
              <w:rPr>
                <w:rFonts w:ascii="Times New Roman" w:cs="Times New Roman" w:eastAsia="Times New Roman" w:hAnsi="Times New Roman"/>
                <w:b w:val="false"/>
                <w:bCs w:val="false"/>
                <w:sz w:val="20"/>
                <w:szCs w:val="20"/>
              </w:rPr>
              <w:t xml:space="preserve">Точность</w:t>
            </w:r>
          </w:p>
        </w:tc>
      </w:tr>
      <w:tr>
        <w:trPr>
          <w:tblHeader w:val="false"/>
        </w:trPr>
        <w:tc>
          <w:tcPr>
            <w:tcW w:type="dxa" w:w="3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0" w:before="0" w:line="260"/>
              <w:jc w:val="left"/>
            </w:pPr>
            <w:r>
              <w:rPr>
                <w:rFonts w:ascii="Times New Roman" w:cs="Times New Roman" w:eastAsia="Times New Roman" w:hAnsi="Times New Roman"/>
                <w:b w:val="false"/>
                <w:bCs w:val="false"/>
                <w:sz w:val="20"/>
                <w:szCs w:val="20"/>
              </w:rPr>
              <w:t xml:space="preserve">Именованные сущности × косинусное сходство</w:t>
            </w:r>
          </w:p>
        </w:tc>
        <w:tc>
          <w:tcPr>
            <w:tcW w:type="dxa" w:w="25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0" w:before="0" w:line="260"/>
              <w:jc w:val="left"/>
            </w:pPr>
            <w:r>
              <w:rPr>
                <w:rFonts w:ascii="Times New Roman" w:cs="Times New Roman" w:eastAsia="Times New Roman" w:hAnsi="Times New Roman"/>
                <w:b w:val="false"/>
                <w:bCs w:val="false"/>
                <w:sz w:val="20"/>
                <w:szCs w:val="20"/>
              </w:rPr>
              <w:t xml:space="preserve">entity_x_cosine</w:t>
            </w:r>
          </w:p>
        </w:tc>
        <w:tc>
          <w:tcPr>
            <w:tcW w:type="dxa" w:w="16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0" w:before="0" w:line="260"/>
              <w:jc w:val="left"/>
            </w:pPr>
            <w:r>
              <w:rPr>
                <w:rFonts w:ascii="Times New Roman" w:cs="Times New Roman" w:eastAsia="Times New Roman" w:hAnsi="Times New Roman"/>
                <w:b w:val="false"/>
                <w:bCs w:val="false"/>
                <w:sz w:val="20"/>
                <w:szCs w:val="20"/>
              </w:rPr>
              <w:t xml:space="preserve">Производные</w:t>
            </w:r>
          </w:p>
        </w:tc>
        <w:tc>
          <w:tcPr>
            <w:tcW w:type="dxa" w:w="17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0" w:before="0" w:line="260"/>
              <w:jc w:val="left"/>
            </w:pPr>
            <w:r>
              <w:rPr>
                <w:rFonts w:ascii="Times New Roman" w:cs="Times New Roman" w:eastAsia="Times New Roman" w:hAnsi="Times New Roman"/>
                <w:b w:val="false"/>
                <w:bCs w:val="false"/>
                <w:sz w:val="20"/>
                <w:szCs w:val="20"/>
              </w:rPr>
              <w:t xml:space="preserve">Точность</w:t>
            </w:r>
          </w:p>
        </w:tc>
      </w:tr>
      <w:tr>
        <w:trPr>
          <w:tblHeader w:val="false"/>
        </w:trPr>
        <w:tc>
          <w:tcPr>
            <w:tcW w:type="dxa" w:w="3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0" w:before="0" w:line="260"/>
              <w:jc w:val="left"/>
            </w:pPr>
            <w:r>
              <w:rPr>
                <w:rFonts w:ascii="Times New Roman" w:cs="Times New Roman" w:eastAsia="Times New Roman" w:hAnsi="Times New Roman"/>
                <w:b w:val="false"/>
                <w:bCs w:val="false"/>
                <w:sz w:val="20"/>
                <w:szCs w:val="20"/>
              </w:rPr>
              <w:t xml:space="preserve">Словарные промахи × смысловое расхождение</w:t>
            </w:r>
          </w:p>
        </w:tc>
        <w:tc>
          <w:tcPr>
            <w:tcW w:type="dxa" w:w="25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0" w:before="0" w:line="260"/>
              <w:jc w:val="left"/>
            </w:pPr>
            <w:r>
              <w:rPr>
                <w:rFonts w:ascii="Times New Roman" w:cs="Times New Roman" w:eastAsia="Times New Roman" w:hAnsi="Times New Roman"/>
                <w:b w:val="false"/>
                <w:bCs w:val="false"/>
                <w:sz w:val="20"/>
                <w:szCs w:val="20"/>
              </w:rPr>
              <w:t xml:space="preserve">oov_x_bad_cosine</w:t>
            </w:r>
          </w:p>
        </w:tc>
        <w:tc>
          <w:tcPr>
            <w:tcW w:type="dxa" w:w="16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0" w:before="0" w:line="260"/>
              <w:jc w:val="left"/>
            </w:pPr>
            <w:r>
              <w:rPr>
                <w:rFonts w:ascii="Times New Roman" w:cs="Times New Roman" w:eastAsia="Times New Roman" w:hAnsi="Times New Roman"/>
                <w:b w:val="false"/>
                <w:bCs w:val="false"/>
                <w:sz w:val="20"/>
                <w:szCs w:val="20"/>
              </w:rPr>
              <w:t xml:space="preserve">Производные</w:t>
            </w:r>
          </w:p>
        </w:tc>
        <w:tc>
          <w:tcPr>
            <w:tcW w:type="dxa" w:w="17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0" w:before="0" w:line="260"/>
              <w:jc w:val="left"/>
            </w:pPr>
            <w:r>
              <w:rPr>
                <w:rFonts w:ascii="Times New Roman" w:cs="Times New Roman" w:eastAsia="Times New Roman" w:hAnsi="Times New Roman"/>
                <w:b w:val="false"/>
                <w:bCs w:val="false"/>
                <w:sz w:val="20"/>
                <w:szCs w:val="20"/>
              </w:rPr>
              <w:t xml:space="preserve">Грамотность</w:t>
            </w:r>
          </w:p>
        </w:tc>
      </w:tr>
      <w:tr>
        <w:trPr>
          <w:tblHeader w:val="false"/>
        </w:trPr>
        <w:tc>
          <w:tcPr>
            <w:tcW w:type="dxa" w:w="3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0" w:before="0" w:line="260"/>
              <w:jc w:val="left"/>
            </w:pPr>
            <w:r>
              <w:rPr>
                <w:rFonts w:ascii="Times New Roman" w:cs="Times New Roman" w:eastAsia="Times New Roman" w:hAnsi="Times New Roman"/>
                <w:b w:val="false"/>
                <w:bCs w:val="false"/>
                <w:sz w:val="20"/>
                <w:szCs w:val="20"/>
              </w:rPr>
              <w:t xml:space="preserve">Резкий провал языковой гладкости</w:t>
            </w:r>
          </w:p>
        </w:tc>
        <w:tc>
          <w:tcPr>
            <w:tcW w:type="dxa" w:w="25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0" w:before="0" w:line="260"/>
              <w:jc w:val="left"/>
            </w:pPr>
            <w:r>
              <w:rPr>
                <w:rFonts w:ascii="Times New Roman" w:cs="Times New Roman" w:eastAsia="Times New Roman" w:hAnsi="Times New Roman"/>
                <w:b w:val="false"/>
                <w:bCs w:val="false"/>
                <w:sz w:val="20"/>
                <w:szCs w:val="20"/>
              </w:rPr>
              <w:t xml:space="preserve">logprob_spike</w:t>
            </w:r>
          </w:p>
        </w:tc>
        <w:tc>
          <w:tcPr>
            <w:tcW w:type="dxa" w:w="16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0" w:before="0" w:line="260"/>
              <w:jc w:val="left"/>
            </w:pPr>
            <w:r>
              <w:rPr>
                <w:rFonts w:ascii="Times New Roman" w:cs="Times New Roman" w:eastAsia="Times New Roman" w:hAnsi="Times New Roman"/>
                <w:b w:val="false"/>
                <w:bCs w:val="false"/>
                <w:sz w:val="20"/>
                <w:szCs w:val="20"/>
              </w:rPr>
              <w:t xml:space="preserve">Производные</w:t>
            </w:r>
          </w:p>
        </w:tc>
        <w:tc>
          <w:tcPr>
            <w:tcW w:type="dxa" w:w="17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0" w:before="0" w:line="260"/>
              <w:jc w:val="left"/>
            </w:pPr>
            <w:r>
              <w:rPr>
                <w:rFonts w:ascii="Times New Roman" w:cs="Times New Roman" w:eastAsia="Times New Roman" w:hAnsi="Times New Roman"/>
                <w:b w:val="false"/>
                <w:bCs w:val="false"/>
                <w:sz w:val="20"/>
                <w:szCs w:val="20"/>
              </w:rPr>
              <w:t xml:space="preserve">Грамотность</w:t>
            </w:r>
          </w:p>
        </w:tc>
      </w:tr>
      <w:tr>
        <w:trPr>
          <w:tblHeader w:val="false"/>
        </w:trPr>
        <w:tc>
          <w:tcPr>
            <w:tcW w:type="dxa" w:w="3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0" w:before="0" w:line="260"/>
              <w:jc w:val="left"/>
            </w:pPr>
            <w:r>
              <w:rPr>
                <w:rFonts w:ascii="Times New Roman" w:cs="Times New Roman" w:eastAsia="Times New Roman" w:hAnsi="Times New Roman"/>
                <w:b w:val="false"/>
                <w:bCs w:val="false"/>
                <w:sz w:val="20"/>
                <w:szCs w:val="20"/>
              </w:rPr>
              <w:t xml:space="preserve">Дисперсия × смысловое расхождение</w:t>
            </w:r>
          </w:p>
        </w:tc>
        <w:tc>
          <w:tcPr>
            <w:tcW w:type="dxa" w:w="25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0" w:before="0" w:line="260"/>
              <w:jc w:val="left"/>
            </w:pPr>
            <w:r>
              <w:rPr>
                <w:rFonts w:ascii="Times New Roman" w:cs="Times New Roman" w:eastAsia="Times New Roman" w:hAnsi="Times New Roman"/>
                <w:b w:val="false"/>
                <w:bCs w:val="false"/>
                <w:sz w:val="20"/>
                <w:szCs w:val="20"/>
              </w:rPr>
              <w:t xml:space="preserve">variance_x_bad_cosine</w:t>
            </w:r>
          </w:p>
        </w:tc>
        <w:tc>
          <w:tcPr>
            <w:tcW w:type="dxa" w:w="16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0" w:before="0" w:line="260"/>
              <w:jc w:val="left"/>
            </w:pPr>
            <w:r>
              <w:rPr>
                <w:rFonts w:ascii="Times New Roman" w:cs="Times New Roman" w:eastAsia="Times New Roman" w:hAnsi="Times New Roman"/>
                <w:b w:val="false"/>
                <w:bCs w:val="false"/>
                <w:sz w:val="20"/>
                <w:szCs w:val="20"/>
              </w:rPr>
              <w:t xml:space="preserve">Производные</w:t>
            </w:r>
          </w:p>
        </w:tc>
        <w:tc>
          <w:tcPr>
            <w:tcW w:type="dxa" w:w="17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0" w:before="0" w:line="260"/>
              <w:jc w:val="left"/>
            </w:pPr>
            <w:r>
              <w:rPr>
                <w:rFonts w:ascii="Times New Roman" w:cs="Times New Roman" w:eastAsia="Times New Roman" w:hAnsi="Times New Roman"/>
                <w:b w:val="false"/>
                <w:bCs w:val="false"/>
                <w:sz w:val="20"/>
                <w:szCs w:val="20"/>
              </w:rPr>
              <w:t xml:space="preserve">Грамотность</w:t>
            </w:r>
          </w:p>
        </w:tc>
      </w:tr>
      <w:tr>
        <w:trPr>
          <w:tblHeader w:val="false"/>
        </w:trPr>
        <w:tc>
          <w:tcPr>
            <w:tcW w:type="dxa" w:w="3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0" w:before="0" w:line="260"/>
              <w:jc w:val="left"/>
            </w:pPr>
            <w:r>
              <w:rPr>
                <w:rFonts w:ascii="Times New Roman" w:cs="Times New Roman" w:eastAsia="Times New Roman" w:hAnsi="Times New Roman"/>
                <w:b w:val="false"/>
                <w:bCs w:val="false"/>
                <w:sz w:val="20"/>
                <w:szCs w:val="20"/>
              </w:rPr>
              <w:t xml:space="preserve">Нормированная разность длин</w:t>
            </w:r>
          </w:p>
        </w:tc>
        <w:tc>
          <w:tcPr>
            <w:tcW w:type="dxa" w:w="25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0" w:before="0" w:line="260"/>
              <w:jc w:val="left"/>
            </w:pPr>
            <w:r>
              <w:rPr>
                <w:rFonts w:ascii="Times New Roman" w:cs="Times New Roman" w:eastAsia="Times New Roman" w:hAnsi="Times New Roman"/>
                <w:b w:val="false"/>
                <w:bCs w:val="false"/>
                <w:sz w:val="20"/>
                <w:szCs w:val="20"/>
              </w:rPr>
              <w:t xml:space="preserve">normed_length_diff</w:t>
            </w:r>
          </w:p>
        </w:tc>
        <w:tc>
          <w:tcPr>
            <w:tcW w:type="dxa" w:w="16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0" w:before="0" w:line="260"/>
              <w:jc w:val="left"/>
            </w:pPr>
            <w:r>
              <w:rPr>
                <w:rFonts w:ascii="Times New Roman" w:cs="Times New Roman" w:eastAsia="Times New Roman" w:hAnsi="Times New Roman"/>
                <w:b w:val="false"/>
                <w:bCs w:val="false"/>
                <w:sz w:val="20"/>
                <w:szCs w:val="20"/>
              </w:rPr>
              <w:t xml:space="preserve">Производные</w:t>
            </w:r>
          </w:p>
        </w:tc>
        <w:tc>
          <w:tcPr>
            <w:tcW w:type="dxa" w:w="17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0" w:before="0" w:line="260"/>
              <w:jc w:val="left"/>
            </w:pPr>
            <w:r>
              <w:rPr>
                <w:rFonts w:ascii="Times New Roman" w:cs="Times New Roman" w:eastAsia="Times New Roman" w:hAnsi="Times New Roman"/>
                <w:b w:val="false"/>
                <w:bCs w:val="false"/>
                <w:sz w:val="20"/>
                <w:szCs w:val="20"/>
              </w:rPr>
              <w:t xml:space="preserve">Точность</w:t>
            </w:r>
          </w:p>
        </w:tc>
      </w:tr>
      <w:tr>
        <w:trPr>
          <w:tblHeader w:val="false"/>
        </w:trPr>
        <w:tc>
          <w:tcPr>
            <w:tcW w:type="dxa" w:w="3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0" w:before="0" w:line="260"/>
              <w:jc w:val="left"/>
            </w:pPr>
            <w:r>
              <w:rPr>
                <w:rFonts w:ascii="Times New Roman" w:cs="Times New Roman" w:eastAsia="Times New Roman" w:hAnsi="Times New Roman"/>
                <w:b w:val="false"/>
                <w:bCs w:val="false"/>
                <w:sz w:val="20"/>
                <w:szCs w:val="20"/>
              </w:rPr>
              <w:t xml:space="preserve">Числа × именованные сущности</w:t>
            </w:r>
          </w:p>
        </w:tc>
        <w:tc>
          <w:tcPr>
            <w:tcW w:type="dxa" w:w="25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0" w:before="0" w:line="260"/>
              <w:jc w:val="left"/>
            </w:pPr>
            <w:r>
              <w:rPr>
                <w:rFonts w:ascii="Times New Roman" w:cs="Times New Roman" w:eastAsia="Times New Roman" w:hAnsi="Times New Roman"/>
                <w:b w:val="false"/>
                <w:bCs w:val="false"/>
                <w:sz w:val="20"/>
                <w:szCs w:val="20"/>
              </w:rPr>
              <w:t xml:space="preserve">digit_x_entity</w:t>
            </w:r>
          </w:p>
        </w:tc>
        <w:tc>
          <w:tcPr>
            <w:tcW w:type="dxa" w:w="16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0" w:before="0" w:line="260"/>
              <w:jc w:val="left"/>
            </w:pPr>
            <w:r>
              <w:rPr>
                <w:rFonts w:ascii="Times New Roman" w:cs="Times New Roman" w:eastAsia="Times New Roman" w:hAnsi="Times New Roman"/>
                <w:b w:val="false"/>
                <w:bCs w:val="false"/>
                <w:sz w:val="20"/>
                <w:szCs w:val="20"/>
              </w:rPr>
              <w:t xml:space="preserve">Производные</w:t>
            </w:r>
          </w:p>
        </w:tc>
        <w:tc>
          <w:tcPr>
            <w:tcW w:type="dxa" w:w="17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0" w:before="0" w:line="260"/>
              <w:jc w:val="left"/>
            </w:pPr>
            <w:r>
              <w:rPr>
                <w:rFonts w:ascii="Times New Roman" w:cs="Times New Roman" w:eastAsia="Times New Roman" w:hAnsi="Times New Roman"/>
                <w:b w:val="false"/>
                <w:bCs w:val="false"/>
                <w:sz w:val="20"/>
                <w:szCs w:val="20"/>
              </w:rPr>
              <w:t xml:space="preserve">Локализация</w:t>
            </w:r>
          </w:p>
        </w:tc>
      </w:tr>
      <w:tr>
        <w:trPr>
          <w:tblHeader w:val="false"/>
        </w:trPr>
        <w:tc>
          <w:tcPr>
            <w:tcW w:type="dxa" w:w="3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0" w:before="0" w:line="260"/>
              <w:jc w:val="left"/>
            </w:pPr>
            <w:r>
              <w:rPr>
                <w:rFonts w:ascii="Times New Roman" w:cs="Times New Roman" w:eastAsia="Times New Roman" w:hAnsi="Times New Roman"/>
                <w:b w:val="false"/>
                <w:bCs w:val="false"/>
                <w:sz w:val="20"/>
                <w:szCs w:val="20"/>
              </w:rPr>
              <w:t xml:space="preserve">Формальность × косинусное сходство</w:t>
            </w:r>
          </w:p>
        </w:tc>
        <w:tc>
          <w:tcPr>
            <w:tcW w:type="dxa" w:w="25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0" w:before="0" w:line="260"/>
              <w:jc w:val="left"/>
            </w:pPr>
            <w:r>
              <w:rPr>
                <w:rFonts w:ascii="Times New Roman" w:cs="Times New Roman" w:eastAsia="Times New Roman" w:hAnsi="Times New Roman"/>
                <w:b w:val="false"/>
                <w:bCs w:val="false"/>
                <w:sz w:val="20"/>
                <w:szCs w:val="20"/>
              </w:rPr>
              <w:t xml:space="preserve">formal_x_cosine</w:t>
            </w:r>
          </w:p>
        </w:tc>
        <w:tc>
          <w:tcPr>
            <w:tcW w:type="dxa" w:w="16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0" w:before="0" w:line="260"/>
              <w:jc w:val="left"/>
            </w:pPr>
            <w:r>
              <w:rPr>
                <w:rFonts w:ascii="Times New Roman" w:cs="Times New Roman" w:eastAsia="Times New Roman" w:hAnsi="Times New Roman"/>
                <w:b w:val="false"/>
                <w:bCs w:val="false"/>
                <w:sz w:val="20"/>
                <w:szCs w:val="20"/>
              </w:rPr>
              <w:t xml:space="preserve">Производные</w:t>
            </w:r>
          </w:p>
        </w:tc>
        <w:tc>
          <w:tcPr>
            <w:tcW w:type="dxa" w:w="17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0" w:before="0" w:line="260"/>
              <w:jc w:val="left"/>
            </w:pPr>
            <w:r>
              <w:rPr>
                <w:rFonts w:ascii="Times New Roman" w:cs="Times New Roman" w:eastAsia="Times New Roman" w:hAnsi="Times New Roman"/>
                <w:b w:val="false"/>
                <w:bCs w:val="false"/>
                <w:sz w:val="20"/>
                <w:szCs w:val="20"/>
              </w:rPr>
              <w:t xml:space="preserve">Стиль</w:t>
            </w:r>
          </w:p>
        </w:tc>
      </w:tr>
    </w:tbl>
    <w:p>
      <w:pPr>
        <w:spacing w:after="0" w:before="0" w:line="360"/>
      </w:pPr>
      <w:r>
        <w:rPr>
          <w:rFonts w:ascii="Times New Roman" w:cs="Times New Roman" w:eastAsia="Times New Roman" w:hAnsi="Times New Roman"/>
          <w:sz w:val="28"/>
          <w:szCs w:val="28"/>
        </w:rPr>
        <w:t xml:space="preserve"/>
      </w:r>
    </w:p>
    <w:p>
      <w:pPr>
        <w:pStyle w:val="Heading2"/>
        <w:spacing w:after="80" w:before="200" w:line="360"/>
        <w:ind w:firstLine="0"/>
        <w:jc w:val="left"/>
      </w:pPr>
      <w:r>
        <w:rPr>
          <w:rFonts w:ascii="Times New Roman" w:cs="Times New Roman" w:eastAsia="Times New Roman" w:hAnsi="Times New Roman"/>
          <w:b/>
          <w:bCs/>
          <w:sz w:val="28"/>
          <w:szCs w:val="28"/>
        </w:rPr>
        <w:t xml:space="preserve">3.2. Структурные и форматные признаки</w:t>
      </w:r>
    </w:p>
    <w:p>
      <w:pPr>
        <w:spacing w:after="0" w:before="0" w:line="360"/>
        <w:ind w:firstLine="720"/>
        <w:jc w:val="both"/>
      </w:pPr>
      <w:r>
        <w:rPr>
          <w:rFonts w:ascii="Times New Roman" w:cs="Times New Roman" w:eastAsia="Times New Roman" w:hAnsi="Times New Roman"/>
          <w:b w:val="false"/>
          <w:bCs w:val="false"/>
          <w:i w:val="false"/>
          <w:iCs w:val="false"/>
          <w:sz w:val="28"/>
          <w:szCs w:val="28"/>
        </w:rPr>
        <w:t xml:space="preserve">Структурные признаки (7 штук) описывают соотношение длин исходного текста и перевода на уровне токенов и символов. Ключевым является соотношение числа токенов перевода к числу токенов оригинала (length_ratio). Для пары «английский → русский» ожидаемое значение составляет около 1,30, поскольку русский язык морфологически богаче английского: флексии, выражающие падеж, число и род, увеличивают среднюю длину слова. Значительное отклонение в меньшую сторону указывает на возможный пропуск фрагментов, в большую — на добавление лишней информации. Помимо базового соотношения, вычисляются его отклонение от ожидаемого значения и мягкая функция от этого отклонения, принимающая значение, близкое к 1 при малом отклонении. Дополнительно фиксируются абсолютная и знаковая разность числа токенов, соотношение символов и разность числа предложений по знакам конца предложения.</w:t>
      </w:r>
    </w:p>
    <w:p>
      <w:pPr>
        <w:spacing w:after="0" w:before="0" w:line="360"/>
        <w:ind w:firstLine="720"/>
        <w:jc w:val="both"/>
      </w:pPr>
      <w:r>
        <w:rPr>
          <w:rFonts w:ascii="Times New Roman" w:cs="Times New Roman" w:eastAsia="Times New Roman" w:hAnsi="Times New Roman"/>
          <w:b w:val="false"/>
          <w:bCs w:val="false"/>
          <w:i w:val="false"/>
          <w:iCs w:val="false"/>
          <w:sz w:val="28"/>
          <w:szCs w:val="28"/>
        </w:rPr>
        <w:t xml:space="preserve">Форматные признаки (7 штук) контролируют соответствие локализационных и типографских соглашений. Доля сохранённых числовых значений (digit_match_ratio) вычисляется как отношение числа чисел из оригинала, найденных в переводе, к их общему количеству в оригинале; регулярное выражение охватывает целые и дробные числа с разделителями. Дополнительно фиксируется разность числа числовых вхождений для обнаружения добавления лишних чисел. Признак несоответствия кавычек (quotes_mismatch) принимает значение 1, если оригинал содержит прямые кавычки, а в переводе они не заменены русскими типографскими кавычками-ёлочками. Признак ошибки формата даты (date_format_error) срабатывает при наличии даты в английском формате (с косой чертой или полным названием месяца на английском языке) в тексте перевода. Признак несоответствия символов валюты (currency_symbol_mismatch) принимает значение 1, если оригинал содержит символ валюты, а перевод — нет. Соотношение знаков препинания (punct_ratio) и несоответствие регистра (capitalization_mismatch) дополняют картину пунктуационной насыщенности и передачи имён собственных.</w:t>
      </w:r>
    </w:p>
    <w:p>
      <w:pPr>
        <w:pStyle w:val="Heading2"/>
        <w:spacing w:after="80" w:before="200" w:line="360"/>
        <w:ind w:firstLine="0"/>
        <w:jc w:val="left"/>
      </w:pPr>
      <w:r>
        <w:rPr>
          <w:rFonts w:ascii="Times New Roman" w:cs="Times New Roman" w:eastAsia="Times New Roman" w:hAnsi="Times New Roman"/>
          <w:b/>
          <w:bCs/>
          <w:sz w:val="28"/>
          <w:szCs w:val="28"/>
        </w:rPr>
        <w:t xml:space="preserve">3.3. Лингвистические признаки</w:t>
      </w:r>
    </w:p>
    <w:p>
      <w:pPr>
        <w:spacing w:after="0" w:before="0" w:line="360"/>
        <w:ind w:firstLine="720"/>
        <w:jc w:val="both"/>
      </w:pPr>
      <w:r>
        <w:rPr>
          <w:rFonts w:ascii="Times New Roman" w:cs="Times New Roman" w:eastAsia="Times New Roman" w:hAnsi="Times New Roman"/>
          <w:b w:val="false"/>
          <w:bCs w:val="false"/>
          <w:i w:val="false"/>
          <w:iCs w:val="false"/>
          <w:sz w:val="28"/>
          <w:szCs w:val="28"/>
        </w:rPr>
        <w:t xml:space="preserve">Группа включает 13 признаков, охватывающих лексический, морфологический, синтаксический уровни и уровень именованных сущностей.</w:t>
      </w:r>
    </w:p>
    <w:p>
      <w:pPr>
        <w:spacing w:after="0" w:before="0" w:line="360"/>
        <w:ind w:firstLine="720"/>
        <w:jc w:val="both"/>
      </w:pPr>
      <w:r>
        <w:rPr>
          <w:rFonts w:ascii="Times New Roman" w:cs="Times New Roman" w:eastAsia="Times New Roman" w:hAnsi="Times New Roman"/>
          <w:b w:val="false"/>
          <w:bCs w:val="false"/>
          <w:i w:val="false"/>
          <w:iCs w:val="false"/>
          <w:sz w:val="28"/>
          <w:szCs w:val="28"/>
        </w:rPr>
        <w:t xml:space="preserve">Доля словарных промахов (oov_ratio) — доля слов перевода, отсутствующих в лексиконе модели spaCy. Высокие значения сопровождают тексты с опечатками, неологизмами или иноязычными вставками. Отношение числа уникальных слов к общему (type_token_ratio) характеризует лексическое разнообразие: низкие значения указывают на тавтологичность или механический характер перевода. Средняя длина слова (avg_token_length) является контекстным признаком: аномальное снижение свидетельствует о большом числе служебных или иноязычных слов.</w:t>
      </w:r>
    </w:p>
    <w:p>
      <w:pPr>
        <w:spacing w:after="0" w:before="0" w:line="360"/>
        <w:ind w:firstLine="720"/>
        <w:jc w:val="both"/>
      </w:pPr>
      <w:r>
        <w:rPr>
          <w:rFonts w:ascii="Times New Roman" w:cs="Times New Roman" w:eastAsia="Times New Roman" w:hAnsi="Times New Roman"/>
          <w:b w:val="false"/>
          <w:bCs w:val="false"/>
          <w:i w:val="false"/>
          <w:iCs w:val="false"/>
          <w:sz w:val="28"/>
          <w:szCs w:val="28"/>
        </w:rPr>
        <w:t xml:space="preserve">Доля сохранённых именованных сущностей (entity_overlap_ratio) и доля пропущенных сущностей (named_entity_missing_ratio) вычисляются сравнением множеств сущностей, выделенных моделью en_core_web_sm в оригинале, с текстом перевода (поиск без учёта регистра). Эти два признака взаимодополняют друг друга: первый фиксирует положительный сигнал, второй — отрицательный.</w:t>
      </w:r>
    </w:p>
    <w:p>
      <w:pPr>
        <w:spacing w:after="0" w:before="0" w:line="360"/>
        <w:ind w:firstLine="720"/>
        <w:jc w:val="both"/>
      </w:pPr>
      <w:r>
        <w:rPr>
          <w:rFonts w:ascii="Times New Roman" w:cs="Times New Roman" w:eastAsia="Times New Roman" w:hAnsi="Times New Roman"/>
          <w:b w:val="false"/>
          <w:bCs w:val="false"/>
          <w:i w:val="false"/>
          <w:iCs w:val="false"/>
          <w:sz w:val="28"/>
          <w:szCs w:val="28"/>
        </w:rPr>
        <w:t xml:space="preserve">Число ошибок согласования (agreement_errors) выявляется через анализ дерева синтаксических зависимостей spaCy: для каждого токена в роли подлежащего или согласованного определения проверяется соответствие его морфологических характеристик (число, род, падеж) характеристикам управляющего слова. Синтаксическая глубина (syntax_depth) — максимальное расстояние от корня до листа в дереве разбора; нетипично высокие значения указывают на запутанные конструкции, характерные для дословного перевода.</w:t>
      </w:r>
    </w:p>
    <w:p>
      <w:pPr>
        <w:spacing w:after="0" w:before="0" w:line="360"/>
        <w:ind w:firstLine="720"/>
        <w:jc w:val="both"/>
      </w:pPr>
      <w:r>
        <w:rPr>
          <w:rFonts w:ascii="Times New Roman" w:cs="Times New Roman" w:eastAsia="Times New Roman" w:hAnsi="Times New Roman"/>
          <w:b w:val="false"/>
          <w:bCs w:val="false"/>
          <w:i w:val="false"/>
          <w:iCs w:val="false"/>
          <w:sz w:val="28"/>
          <w:szCs w:val="28"/>
        </w:rPr>
        <w:t xml:space="preserve">Индекс формальности (formal_ratio) вычисляется через pymorphy3 без словарей: подсчитывается доля причастий, деепричастий и отглагольных существительных с суффиксами -ние, -ция, -ость, -ение, -ание. Доля морфологических ошибок (morphology_error_rate) — доля слов, для которых pymorphy3 не построил ни одного разбора с известной частью речи; такие слова, как правило, являются опечатками или несуществующими формами. Доля повторяющихся лемм (repetition_ratio) фиксирует леммы, встречающиеся более одного раза, нормированная на длину текста. Доля непереведённых слов (untranslated_ratio) выявляет слова, содержащие исключительно латинские буквы, длиной более 2 символов и не являющиеся вероятными именами собственными. Доля латинских символов во всём тексте (latin_ratio) — более грубый, но вычислительно простой дополнительный сигнал того же явления. Средний ранг редкости слов (avg_word_rank) вычисляется как среднее отрицательных логарифмов максимальной вероятности разбора каждого слова по pymorphy3, что даёт приближение к частотному рангу без обращения к внешним словарям.</w:t>
      </w:r>
    </w:p>
    <w:p>
      <w:pPr>
        <w:pStyle w:val="Heading2"/>
        <w:spacing w:after="80" w:before="200" w:line="360"/>
        <w:ind w:firstLine="0"/>
        <w:jc w:val="left"/>
      </w:pPr>
      <w:r>
        <w:rPr>
          <w:rFonts w:ascii="Times New Roman" w:cs="Times New Roman" w:eastAsia="Times New Roman" w:hAnsi="Times New Roman"/>
          <w:b/>
          <w:bCs/>
          <w:sz w:val="28"/>
          <w:szCs w:val="28"/>
        </w:rPr>
        <w:t xml:space="preserve">3.4. Семантические признаки</w:t>
      </w:r>
    </w:p>
    <w:p>
      <w:pPr>
        <w:spacing w:after="0" w:before="0" w:line="360"/>
        <w:ind w:firstLine="720"/>
        <w:jc w:val="both"/>
      </w:pPr>
      <w:r>
        <w:rPr>
          <w:rFonts w:ascii="Times New Roman" w:cs="Times New Roman" w:eastAsia="Times New Roman" w:hAnsi="Times New Roman"/>
          <w:b w:val="false"/>
          <w:bCs w:val="false"/>
          <w:i w:val="false"/>
          <w:iCs w:val="false"/>
          <w:sz w:val="28"/>
          <w:szCs w:val="28"/>
        </w:rPr>
        <w:t xml:space="preserve">Семантические признаки (2 штуки) вычисляются с использованием модели LaBSE (Language-agnostic BERT Sentence Embeddings), разработанной исследователями Google и опубликованной в 2020 году. Модель основана на архитектуре BERT и дообучена на параллельных корпусах для 109 языков: семантически эквивалентные тексты на разных языках проецируются в близкие точки единого векторного пространства размерностью 768. Максимальная длина входного текста — 512 субтокенов.</w:t>
      </w:r>
    </w:p>
    <w:p>
      <w:pPr>
        <w:spacing w:after="0" w:before="0" w:line="360"/>
        <w:ind w:firstLine="720"/>
        <w:jc w:val="both"/>
      </w:pPr>
      <w:r>
        <w:rPr>
          <w:rFonts w:ascii="Times New Roman" w:cs="Times New Roman" w:eastAsia="Times New Roman" w:hAnsi="Times New Roman"/>
          <w:b w:val="false"/>
          <w:bCs w:val="false"/>
          <w:i w:val="false"/>
          <w:iCs w:val="false"/>
          <w:sz w:val="28"/>
          <w:szCs w:val="28"/>
        </w:rPr>
        <w:t xml:space="preserve">Косинусное сходство (cosine_similarity)</w:t>
      </w:r>
      <w:r>
        <w:rPr>
          <w:rFonts w:ascii="Times New Roman" w:cs="Times New Roman" w:eastAsia="Times New Roman" w:hAnsi="Times New Roman"/>
          <w:b w:val="false"/>
          <w:bCs w:val="false"/>
          <w:i w:val="false"/>
          <w:iCs w:val="false"/>
          <w:sz w:val="28"/>
          <w:szCs w:val="28"/>
        </w:rPr>
        <w:t xml:space="preserve"> измеряет угол между нормализованными векторами представлений оригинала и перевода и вычисляется по формуле:</w:t>
      </w:r>
    </w:p>
    <w:p>
      <w:pPr>
        <w:spacing w:after="80" w:before="80" w:line="360"/>
        <w:jc w:val="center"/>
      </w:pPr>
      <w:r>
        <w:rPr>
          <w:rFonts w:ascii="Times New Roman" w:cs="Times New Roman" w:eastAsia="Times New Roman" w:hAnsi="Times New Roman"/>
          <w:i/>
          <w:iCs/>
          <w:sz w:val="28"/>
          <w:szCs w:val="28"/>
        </w:rPr>
        <w:t xml:space="preserve">cos(src, mt) = (src · mt) / (||src|| · ||mt||)</w:t>
      </w:r>
    </w:p>
    <w:p>
      <w:pPr>
        <w:spacing w:after="0" w:before="0" w:line="360"/>
        <w:ind w:firstLine="720"/>
        <w:jc w:val="both"/>
      </w:pPr>
      <w:r>
        <w:rPr>
          <w:rFonts w:ascii="Times New Roman" w:cs="Times New Roman" w:eastAsia="Times New Roman" w:hAnsi="Times New Roman"/>
          <w:b w:val="false"/>
          <w:bCs w:val="false"/>
          <w:i w:val="false"/>
          <w:iCs w:val="false"/>
          <w:sz w:val="28"/>
          <w:szCs w:val="28"/>
        </w:rPr>
        <w:t xml:space="preserve">Значение, близкое к 1, означает близость смыслов; значения ниже 0,80–0,85 для коротких предложений, как правило, указывают на существенное смысловое расхождение. Косинусное сходство является одним из наиболее информативных признаков системы. Евклидово расстояние (embedding_distance) дополняет его, учитывая нормы векторов: два текста могут иметь одинаковое направление векторов при разной информационной насыщенности. При пакетном вычислении все тексты кодируются за один вызов модели, что позволяет использовать параллельные вычисления.</w:t>
      </w:r>
    </w:p>
    <w:p>
      <w:pPr>
        <w:pStyle w:val="Heading2"/>
        <w:spacing w:after="80" w:before="200" w:line="360"/>
        <w:ind w:firstLine="0"/>
        <w:jc w:val="left"/>
      </w:pPr>
      <w:r>
        <w:rPr>
          <w:rFonts w:ascii="Times New Roman" w:cs="Times New Roman" w:eastAsia="Times New Roman" w:hAnsi="Times New Roman"/>
          <w:b/>
          <w:bCs/>
          <w:sz w:val="28"/>
          <w:szCs w:val="28"/>
        </w:rPr>
        <w:t xml:space="preserve">3.5. Признаки языковой гладкости</w:t>
      </w:r>
    </w:p>
    <w:p>
      <w:pPr>
        <w:spacing w:after="0" w:before="0" w:line="360"/>
        <w:ind w:firstLine="720"/>
        <w:jc w:val="both"/>
      </w:pPr>
      <w:r>
        <w:rPr>
          <w:rFonts w:ascii="Times New Roman" w:cs="Times New Roman" w:eastAsia="Times New Roman" w:hAnsi="Times New Roman"/>
          <w:b w:val="false"/>
          <w:bCs w:val="false"/>
          <w:i w:val="false"/>
          <w:iCs w:val="false"/>
          <w:sz w:val="28"/>
          <w:szCs w:val="28"/>
        </w:rPr>
        <w:t xml:space="preserve">Признаки языковой гладкости (4 штуки) оценивают, насколько естественно звучит текст перевода с точки зрения авторегрессионной языковой модели ruGPT-3 Small, разработанной Сбербанком на основе архитектуры GPT-3 и обученной на корпусах русскоязычных текстов. Модель предсказывает каждый следующий токен по всем предшествующим; логарифм вероятности последовательности равен сумме логарифмических вероятностей отдельных токенов.</w:t>
      </w:r>
    </w:p>
    <w:p>
      <w:pPr>
        <w:spacing w:after="0" w:before="0" w:line="360"/>
        <w:ind w:firstLine="720"/>
        <w:jc w:val="both"/>
      </w:pPr>
      <w:r>
        <w:rPr>
          <w:rFonts w:ascii="Times New Roman" w:cs="Times New Roman" w:eastAsia="Times New Roman" w:hAnsi="Times New Roman"/>
          <w:b w:val="false"/>
          <w:bCs w:val="false"/>
          <w:i w:val="false"/>
          <w:iCs w:val="false"/>
          <w:sz w:val="28"/>
          <w:szCs w:val="28"/>
        </w:rPr>
        <w:t xml:space="preserve">Поскольку модель использует байтовое попарное кодирование (одно слово может разбиваться на несколько субтокенов), логарифмическая вероятность слова вычисляется суммированием вероятностей всех составляющих его субтокенов. Соответствие между субтокенами и словами устанавливается через символьные смещения, что устойчиво к различиям схем токенизации.</w:t>
      </w:r>
    </w:p>
    <w:p>
      <w:pPr>
        <w:spacing w:after="0" w:before="0" w:line="360"/>
        <w:ind w:firstLine="720"/>
        <w:jc w:val="both"/>
      </w:pPr>
      <w:r>
        <w:rPr>
          <w:rFonts w:ascii="Times New Roman" w:cs="Times New Roman" w:eastAsia="Times New Roman" w:hAnsi="Times New Roman"/>
          <w:b w:val="false"/>
          <w:bCs w:val="false"/>
          <w:i w:val="false"/>
          <w:iCs w:val="false"/>
          <w:sz w:val="28"/>
          <w:szCs w:val="28"/>
        </w:rPr>
        <w:t xml:space="preserve">Из массива пословных логарифмических вероятностей извлекаются 4 признака. Среднее значение (mean_log_prob) отражает общую предсказуемость текста. Перплексия (perplexity) — экспонента взятого с обратным знаком среднего логарифмического значения:</w:t>
      </w:r>
    </w:p>
    <w:p>
      <w:pPr>
        <w:spacing w:after="80" w:before="80" w:line="360"/>
        <w:jc w:val="center"/>
      </w:pPr>
      <w:r>
        <w:rPr>
          <w:rFonts w:ascii="Times New Roman" w:cs="Times New Roman" w:eastAsia="Times New Roman" w:hAnsi="Times New Roman"/>
          <w:i/>
          <w:iCs/>
          <w:sz w:val="28"/>
          <w:szCs w:val="28"/>
        </w:rPr>
        <w:t xml:space="preserve">PPL = exp(−(1/n) · Σ log P(wᵢ | w₁,...,wᵢ₋₁))</w:t>
      </w:r>
    </w:p>
    <w:p>
      <w:pPr>
        <w:spacing w:after="0" w:before="0" w:line="360"/>
        <w:ind w:firstLine="720"/>
        <w:jc w:val="both"/>
      </w:pPr>
      <w:r>
        <w:rPr>
          <w:rFonts w:ascii="Times New Roman" w:cs="Times New Roman" w:eastAsia="Times New Roman" w:hAnsi="Times New Roman"/>
          <w:b w:val="false"/>
          <w:bCs w:val="false"/>
          <w:i w:val="false"/>
          <w:iCs w:val="false"/>
          <w:sz w:val="28"/>
          <w:szCs w:val="28"/>
        </w:rPr>
        <w:t xml:space="preserve">Перплексия интерпретируется как среднее число вариантов, из которых модель выбирает следующее слово. Дисперсия логарифмических вероятностей по словам (token_ppl_variance) выявляет неравномерность: высокое значение при умеренном среднем указывает на наличие отдельных аномально неожиданных слов. Минимальная логарифмическая вероятность слова (min_token_log_prob) прямо указывает на наиболее «неожиданное» слово в предложении, которое часто соответствует месту реальной ошибки. Пословные логарифмические вероятности также передаются в классификатор ошибочных фрагментов и систему правил, выступая связующим звеном между двумя основными компонентами системы.</w:t>
      </w:r>
    </w:p>
    <w:p>
      <w:pPr>
        <w:pStyle w:val="Heading2"/>
        <w:spacing w:after="80" w:before="200" w:line="360"/>
        <w:ind w:firstLine="0"/>
        <w:jc w:val="left"/>
      </w:pPr>
      <w:r>
        <w:rPr>
          <w:rFonts w:ascii="Times New Roman" w:cs="Times New Roman" w:eastAsia="Times New Roman" w:hAnsi="Times New Roman"/>
          <w:b/>
          <w:bCs/>
          <w:sz w:val="28"/>
          <w:szCs w:val="28"/>
        </w:rPr>
        <w:t xml:space="preserve">3.6. Производные признаки</w:t>
      </w:r>
    </w:p>
    <w:p>
      <w:pPr>
        <w:spacing w:after="0" w:before="0" w:line="360"/>
        <w:ind w:firstLine="720"/>
        <w:jc w:val="both"/>
      </w:pPr>
      <w:r>
        <w:rPr>
          <w:rFonts w:ascii="Times New Roman" w:cs="Times New Roman" w:eastAsia="Times New Roman" w:hAnsi="Times New Roman"/>
          <w:b w:val="false"/>
          <w:bCs w:val="false"/>
          <w:i w:val="false"/>
          <w:iCs w:val="false"/>
          <w:sz w:val="28"/>
          <w:szCs w:val="28"/>
        </w:rPr>
        <w:t xml:space="preserve">Производные признаки (10 штук) кодируют нелинейные взаимодействия признаков из разных групп. Нелинейные модели теоретически способны выявлять такие взаимодействия самостоятельно, однако явное включение их ускоряет обучение и улучшает интерпретируемость. Все 10 признаков реализованы аналитически.</w:t>
      </w:r>
    </w:p>
    <w:p>
      <w:pPr>
        <w:spacing w:after="0" w:before="0" w:line="360"/>
        <w:ind w:firstLine="720"/>
        <w:jc w:val="both"/>
      </w:pPr>
      <w:r>
        <w:rPr>
          <w:rFonts w:ascii="Times New Roman" w:cs="Times New Roman" w:eastAsia="Times New Roman" w:hAnsi="Times New Roman"/>
          <w:b w:val="false"/>
          <w:bCs w:val="false"/>
          <w:i w:val="false"/>
          <w:iCs w:val="false"/>
          <w:sz w:val="28"/>
          <w:szCs w:val="28"/>
        </w:rPr>
        <w:t xml:space="preserve">Косинусное сходство при нормальной длине (cosine_x_length_ok) — произведение косинусного сходства и мягкой функции «нормальности» соотношения длин. Разделяет два разных сценария низкой оценки: смысловые искажения и нарушение длины. Логарифм удвоенной перплексии (log_perplexity) сжимает диапазон значений перплексии, устраняя чувствительность к выбросам. Отношение косинусного сходства к логарифму перплексии (cosine_per_logppl) объединяет два измерения качества: высокое значение означает одновременную смысловую точность и языковую естественность. Произведение доли сохранённых сущностей и косинусного сходства (entity_x_cosine) важно для предложений с именами собственными и числами. Произведение доли словарных промахов и смыслового расхождения (oov_x_bad_cosine) растёт при одновременном присутствии нетипичных слов и смысловой неточности — характерно для переводов с непереведёнными фрагментами. Резкий провал языковой гладкости (logprob_spike) — разность между средней и минимальной логарифмической вероятностью: большое значение означает наличие аномально неожиданного слова при нормальном среднем качестве. Произведение дисперсии вероятностей и смыслового расхождения (variance_x_bad_cosine) усиливает сигнал при неравномерно плохом тексте. Нормированная разность числа токенов (normed_length_diff) делит абсолютную разность на длину оригинала, обеспечивая сопоставимость коротких и длинных предложений. Произведение точности числовых значений и доли сохранённых сущностей (digit_x_entity) особенно важно для текстов с числовыми данными в именованных объектах. Произведение индекса формальности и косинусного сходства (formal_x_cosine) помогает выявлять переводы с правильным смыслом, но несоответствующим регистром речи.</w:t>
      </w:r>
    </w:p>
    <w:p>
      <w:pPr>
        <w:pStyle w:val="Heading1"/>
        <w:spacing w:after="120" w:before="240" w:line="360"/>
        <w:jc w:val="center"/>
      </w:pPr>
      <w:r>
        <w:rPr>
          <w:rFonts w:ascii="Times New Roman" w:cs="Times New Roman" w:eastAsia="Times New Roman" w:hAnsi="Times New Roman"/>
          <w:b/>
          <w:bCs/>
          <w:sz w:val="28"/>
          <w:szCs w:val="28"/>
        </w:rPr>
        <w:t xml:space="preserve">4. МОДЕЛИ ОЦЕНКИ КАЧЕСТВА НА УРОВНЕ ПРЕДЛОЖЕНИЯ</w:t>
      </w:r>
    </w:p>
    <w:p>
      <w:pPr>
        <w:spacing w:after="0" w:before="0" w:line="360"/>
        <w:ind w:firstLine="720"/>
        <w:jc w:val="both"/>
      </w:pPr>
      <w:r>
        <w:rPr>
          <w:rFonts w:ascii="Times New Roman" w:cs="Times New Roman" w:eastAsia="Times New Roman" w:hAnsi="Times New Roman"/>
          <w:b w:val="false"/>
          <w:bCs w:val="false"/>
          <w:i w:val="false"/>
          <w:iCs w:val="false"/>
          <w:sz w:val="28"/>
          <w:szCs w:val="28"/>
        </w:rPr>
        <w:t xml:space="preserve">Оценка качества на уровне предложения решается как задача регрессии: на вход подаётся вектор из 43 признаков, на выходе — числовое значение в диапазоне от 0 до 1, соответствующее нормализованной оценке качества по методике прямой оценки (Direct Assessment). Обучаются три независимые модели, предсказания которых объединяются в итоговую оценку через взвешенный ансамбль.</w:t>
      </w:r>
    </w:p>
    <w:p>
      <w:pPr>
        <w:pStyle w:val="Heading2"/>
        <w:spacing w:after="80" w:before="200" w:line="360"/>
        <w:ind w:firstLine="0"/>
        <w:jc w:val="left"/>
      </w:pPr>
      <w:r>
        <w:rPr>
          <w:rFonts w:ascii="Times New Roman" w:cs="Times New Roman" w:eastAsia="Times New Roman" w:hAnsi="Times New Roman"/>
          <w:b/>
          <w:bCs/>
          <w:sz w:val="28"/>
          <w:szCs w:val="28"/>
        </w:rPr>
        <w:t xml:space="preserve">4.1. Градиентный бустинг (XGBoost)</w:t>
      </w:r>
    </w:p>
    <w:p>
      <w:pPr>
        <w:spacing w:after="0" w:before="0" w:line="360"/>
        <w:ind w:firstLine="720"/>
        <w:jc w:val="both"/>
      </w:pPr>
      <w:r>
        <w:rPr>
          <w:rFonts w:ascii="Times New Roman" w:cs="Times New Roman" w:eastAsia="Times New Roman" w:hAnsi="Times New Roman"/>
          <w:b w:val="false"/>
          <w:bCs w:val="false"/>
          <w:i w:val="false"/>
          <w:iCs w:val="false"/>
          <w:sz w:val="28"/>
          <w:szCs w:val="28"/>
        </w:rPr>
        <w:t xml:space="preserve">Градиентный бустинг строит ансамбль деревьев решений последовательно. На каждой итерации добавляется новое дерево, которое предсказывает не целевую переменную, а отрицательный градиент функции потерь по текущим предсказаниям ансамбля. При квадратичной функции потерь этот градиент совпадает с остатками — разностями между истинными значениями и текущими предсказаниями. Новое дерево добавляется с коэффициентом темпа обучения, что обеспечивает плавную сходимость. Итоговое предсказание — сумма предсказаний всех деревьев.</w:t>
      </w:r>
    </w:p>
    <w:p>
      <w:pPr>
        <w:spacing w:after="0" w:before="0" w:line="360"/>
        <w:ind w:firstLine="720"/>
        <w:jc w:val="both"/>
      </w:pPr>
      <w:r>
        <w:rPr>
          <w:rFonts w:ascii="Times New Roman" w:cs="Times New Roman" w:eastAsia="Times New Roman" w:hAnsi="Times New Roman"/>
          <w:b w:val="false"/>
          <w:bCs w:val="false"/>
          <w:i w:val="false"/>
          <w:iCs w:val="false"/>
          <w:sz w:val="28"/>
          <w:szCs w:val="28"/>
        </w:rPr>
        <w:t xml:space="preserve">В системе используется реализация XGBoost (Тяньци Чен и соавторы, 2016). Ключевые гиперпараметры: темп обучения 0,03, максимальная глубина дерева 5, минимальное число примеров в листе 5. Регуляризация: L2-штраф на веса листьев = 1,0, L1-штраф = 0,05, минимальный прирост при ветвлении (gamma) = 0,05. Случайная выборка строк на итерации — 80%, признаков при построении дерева — 70%. Максимальное число итераций — 4000. Построение деревьев выполняется гистограммным методом (tree_method=hist), ускоряющим обучение за счёт дискретизации непрерывных признаков. Перечисленные гиперпараметры подобраны вручную; в дальнейшем планируется их автоматический подбор.</w:t>
      </w:r>
    </w:p>
    <w:p>
      <w:pPr>
        <w:spacing w:after="0" w:before="0" w:line="360"/>
        <w:ind w:firstLine="720"/>
        <w:jc w:val="both"/>
      </w:pPr>
      <w:r>
        <w:rPr>
          <w:rFonts w:ascii="Times New Roman" w:cs="Times New Roman" w:eastAsia="Times New Roman" w:hAnsi="Times New Roman"/>
          <w:b w:val="false"/>
          <w:bCs w:val="false"/>
          <w:i w:val="false"/>
          <w:iCs w:val="false"/>
          <w:sz w:val="28"/>
          <w:szCs w:val="28"/>
        </w:rPr>
        <w:t xml:space="preserve">Стандартный механизм ранней остановки XGBoost отслеживает функцию потерь на проверочном наборе. Однако практически важна не абсолютная ошибка, а согласованность ранжирования переводов, поэтому реализован нестандартный механизм: обучение прекращается по коэффициенту корреляции Пирсона между предсказаниями и истинными значениями на проверочном наборе. Коэффициент вычисляется по формуле:</w:t>
      </w:r>
    </w:p>
    <w:p>
      <w:pPr>
        <w:spacing w:after="80" w:before="80" w:line="360"/>
        <w:jc w:val="center"/>
      </w:pPr>
      <w:r>
        <w:rPr>
          <w:rFonts w:ascii="Times New Roman" w:cs="Times New Roman" w:eastAsia="Times New Roman" w:hAnsi="Times New Roman"/>
          <w:i/>
          <w:iCs/>
          <w:sz w:val="28"/>
          <w:szCs w:val="28"/>
        </w:rPr>
        <w:t xml:space="preserve">r = Σ(yᵢ − ȳ)(ŷᵢ − ŷ̄) / √[Σ(yᵢ − ȳ)² · Σ(ŷᵢ − ŷ̄)²]</w:t>
      </w:r>
    </w:p>
    <w:p>
      <w:pPr>
        <w:spacing w:after="0" w:before="0" w:line="360"/>
        <w:ind w:firstLine="720"/>
        <w:jc w:val="both"/>
      </w:pPr>
      <w:r>
        <w:rPr>
          <w:rFonts w:ascii="Times New Roman" w:cs="Times New Roman" w:eastAsia="Times New Roman" w:hAnsi="Times New Roman"/>
          <w:b w:val="false"/>
          <w:bCs w:val="false"/>
          <w:i w:val="false"/>
          <w:iCs w:val="false"/>
          <w:sz w:val="28"/>
          <w:szCs w:val="28"/>
        </w:rPr>
        <w:t xml:space="preserve">где yᵢ — истинные оценки, ŷᵢ — предсказанные. Если в течение 120 последовательных итераций коэффициент не улучшается более чем на 0,00001, обучение прекращается, а модель обрезается до состояния с наилучшим значением коэффициента.</w:t>
      </w:r>
    </w:p>
    <w:p>
      <w:pPr>
        <w:pStyle w:val="Heading2"/>
        <w:spacing w:after="80" w:before="200" w:line="360"/>
        <w:ind w:firstLine="0"/>
        <w:jc w:val="left"/>
      </w:pPr>
      <w:r>
        <w:rPr>
          <w:rFonts w:ascii="Times New Roman" w:cs="Times New Roman" w:eastAsia="Times New Roman" w:hAnsi="Times New Roman"/>
          <w:b/>
          <w:bCs/>
          <w:sz w:val="28"/>
          <w:szCs w:val="28"/>
        </w:rPr>
        <w:t xml:space="preserve">4.2. Гребневая регрессия</w:t>
      </w:r>
    </w:p>
    <w:p>
      <w:pPr>
        <w:spacing w:after="0" w:before="0" w:line="360"/>
        <w:ind w:firstLine="720"/>
        <w:jc w:val="both"/>
      </w:pPr>
      <w:r>
        <w:rPr>
          <w:rFonts w:ascii="Times New Roman" w:cs="Times New Roman" w:eastAsia="Times New Roman" w:hAnsi="Times New Roman"/>
          <w:b w:val="false"/>
          <w:bCs w:val="false"/>
          <w:i w:val="false"/>
          <w:iCs w:val="false"/>
          <w:sz w:val="28"/>
          <w:szCs w:val="28"/>
        </w:rPr>
        <w:t xml:space="preserve">Гребневая регрессия — линейная модель с L2-регуляризацией. Целевая функция имеет вид:</w:t>
      </w:r>
    </w:p>
    <w:p>
      <w:pPr>
        <w:spacing w:after="80" w:before="80" w:line="360"/>
        <w:jc w:val="center"/>
      </w:pPr>
      <w:r>
        <w:rPr>
          <w:rFonts w:ascii="Times New Roman" w:cs="Times New Roman" w:eastAsia="Times New Roman" w:hAnsi="Times New Roman"/>
          <w:i/>
          <w:iCs/>
          <w:sz w:val="28"/>
          <w:szCs w:val="28"/>
        </w:rPr>
        <w:t xml:space="preserve">L(w) = ||Xw − y||² + α·||w||²</w:t>
      </w:r>
    </w:p>
    <w:p>
      <w:pPr>
        <w:spacing w:after="0" w:before="0" w:line="360"/>
        <w:ind w:firstLine="720"/>
        <w:jc w:val="both"/>
      </w:pPr>
      <w:r>
        <w:rPr>
          <w:rFonts w:ascii="Times New Roman" w:cs="Times New Roman" w:eastAsia="Times New Roman" w:hAnsi="Times New Roman"/>
          <w:b w:val="false"/>
          <w:bCs w:val="false"/>
          <w:i w:val="false"/>
          <w:iCs w:val="false"/>
          <w:sz w:val="28"/>
          <w:szCs w:val="28"/>
        </w:rPr>
        <w:t xml:space="preserve">где X — матрица признаков, y — вектор целевых значений, w — вектор весов, α — параметр регуляризации. Штраф α·||w||² равномерно уменьшает все веса, не обнуляя их (в отличие от L1-регуляризации), что приводит к распределению влияния между коррелирующими признаками. Модель решает задачу аналитически через псевдообратную матрицу, что делает обучение мгновенным. Параметр α = 2,0 подобран как компромисс между переобучением и недообучением.</w:t>
      </w:r>
    </w:p>
    <w:p>
      <w:pPr>
        <w:spacing w:after="0" w:before="0" w:line="360"/>
        <w:ind w:firstLine="720"/>
        <w:jc w:val="both"/>
      </w:pPr>
      <w:r>
        <w:rPr>
          <w:rFonts w:ascii="Times New Roman" w:cs="Times New Roman" w:eastAsia="Times New Roman" w:hAnsi="Times New Roman"/>
          <w:b w:val="false"/>
          <w:bCs w:val="false"/>
          <w:i w:val="false"/>
          <w:iCs w:val="false"/>
          <w:sz w:val="28"/>
          <w:szCs w:val="28"/>
        </w:rPr>
        <w:t xml:space="preserve">Главная ценность гребневой регрессии в ансамбле — интерпретируемость: вклад каждого признака в предсказание равен произведению его значения на весовой коэффициент, что позволяет получать прозрачные объяснения без применения специализированных методов. Кроме того, линейная модель более устойчива к выбросам в значениях признаков.</w:t>
      </w:r>
    </w:p>
    <w:p>
      <w:pPr>
        <w:pStyle w:val="Heading2"/>
        <w:spacing w:after="80" w:before="200" w:line="360"/>
        <w:ind w:firstLine="0"/>
        <w:jc w:val="left"/>
      </w:pPr>
      <w:r>
        <w:rPr>
          <w:rFonts w:ascii="Times New Roman" w:cs="Times New Roman" w:eastAsia="Times New Roman" w:hAnsi="Times New Roman"/>
          <w:b/>
          <w:bCs/>
          <w:sz w:val="28"/>
          <w:szCs w:val="28"/>
        </w:rPr>
        <w:t xml:space="preserve">4.3. Случайный лес</w:t>
      </w:r>
    </w:p>
    <w:p>
      <w:pPr>
        <w:spacing w:after="0" w:before="0" w:line="360"/>
        <w:ind w:firstLine="720"/>
        <w:jc w:val="both"/>
      </w:pPr>
      <w:r>
        <w:rPr>
          <w:rFonts w:ascii="Times New Roman" w:cs="Times New Roman" w:eastAsia="Times New Roman" w:hAnsi="Times New Roman"/>
          <w:b w:val="false"/>
          <w:bCs w:val="false"/>
          <w:i w:val="false"/>
          <w:iCs w:val="false"/>
          <w:sz w:val="28"/>
          <w:szCs w:val="28"/>
        </w:rPr>
        <w:t xml:space="preserve">Случайный лес — ансамбль деревьев решений, каждое из которых обучается на случайной выборке обучающих примеров с возвращением (бутстрэп-выборке) и при построении каждого разбиения рассматривает случайное подмножество признаков. Предсказание ансамбля — среднее по всем деревьям. Двойная случайность уменьшает корреляцию между деревьями и снижает дисперсию итогового предсказания.</w:t>
      </w:r>
    </w:p>
    <w:p>
      <w:pPr>
        <w:spacing w:after="0" w:before="0" w:line="360"/>
        <w:ind w:firstLine="720"/>
        <w:jc w:val="both"/>
      </w:pPr>
      <w:r>
        <w:rPr>
          <w:rFonts w:ascii="Times New Roman" w:cs="Times New Roman" w:eastAsia="Times New Roman" w:hAnsi="Times New Roman"/>
          <w:b w:val="false"/>
          <w:bCs w:val="false"/>
          <w:i w:val="false"/>
          <w:iCs w:val="false"/>
          <w:sz w:val="28"/>
          <w:szCs w:val="28"/>
        </w:rPr>
        <w:t xml:space="preserve">В системе обучается ансамбль из 400 деревьев с максимальной глубиной 14 и минимальным числом примеров в листе 2. Обучение всех деревьев выполняется параллельно. Параметры также подобраны вручную и могут быть улучшены при автоматическом поиске. Случайный лес особенно хорошо улавливает случаи, когда текст не переведён: признаки untranslated_ratio и latin_ratio создают чёткие разбиения в пространстве признаков, которые дерево решений фиксирует напрямую.</w:t>
      </w:r>
    </w:p>
    <w:p>
      <w:pPr>
        <w:spacing w:after="0" w:before="0" w:line="360"/>
        <w:ind w:firstLine="720"/>
        <w:jc w:val="both"/>
      </w:pPr>
      <w:r>
        <w:rPr>
          <w:rFonts w:ascii="Times New Roman" w:cs="Times New Roman" w:eastAsia="Times New Roman" w:hAnsi="Times New Roman"/>
          <w:b w:val="false"/>
          <w:bCs w:val="false"/>
          <w:i w:val="false"/>
          <w:iCs w:val="false"/>
          <w:sz w:val="28"/>
          <w:szCs w:val="28"/>
        </w:rPr>
        <w:t xml:space="preserve">Уникальная возможность случайного леса в составе ансамбля — прямая оценка неопределённости предсказания. Предсказания 400 деревьев для одного примера рассматриваются как выборка из распределения предсказаний. Стандартное отклонение этой выборки (σ) служит мерой неопределённости: если деревья согласны, σ мала; если расходятся — велика. 95%-й доверительный интервал вычисляется как:</w:t>
      </w:r>
    </w:p>
    <w:p>
      <w:pPr>
        <w:spacing w:after="80" w:before="80" w:line="360"/>
        <w:jc w:val="center"/>
      </w:pPr>
      <w:r>
        <w:rPr>
          <w:rFonts w:ascii="Times New Roman" w:cs="Times New Roman" w:eastAsia="Times New Roman" w:hAnsi="Times New Roman"/>
          <w:i/>
          <w:iCs/>
          <w:sz w:val="28"/>
          <w:szCs w:val="28"/>
        </w:rPr>
        <w:t xml:space="preserve">ДИ₉₅ = [ŷ − 1,96·σ,  ŷ + 1,96·σ]</w:t>
      </w:r>
    </w:p>
    <w:p>
      <w:pPr>
        <w:pStyle w:val="Heading2"/>
        <w:spacing w:after="80" w:before="200" w:line="360"/>
        <w:ind w:firstLine="0"/>
        <w:jc w:val="left"/>
      </w:pPr>
      <w:r>
        <w:rPr>
          <w:rFonts w:ascii="Times New Roman" w:cs="Times New Roman" w:eastAsia="Times New Roman" w:hAnsi="Times New Roman"/>
          <w:b/>
          <w:bCs/>
          <w:sz w:val="28"/>
          <w:szCs w:val="28"/>
        </w:rPr>
        <w:t xml:space="preserve">4.4. Управление весами обучающих примеров</w:t>
      </w:r>
    </w:p>
    <w:p>
      <w:pPr>
        <w:spacing w:after="0" w:before="0" w:line="360"/>
        <w:ind w:firstLine="720"/>
        <w:jc w:val="both"/>
      </w:pPr>
      <w:r>
        <w:rPr>
          <w:rFonts w:ascii="Times New Roman" w:cs="Times New Roman" w:eastAsia="Times New Roman" w:hAnsi="Times New Roman"/>
          <w:b w:val="false"/>
          <w:bCs w:val="false"/>
          <w:i w:val="false"/>
          <w:iCs w:val="false"/>
          <w:sz w:val="28"/>
          <w:szCs w:val="28"/>
        </w:rPr>
        <w:t xml:space="preserve">Все три модели поддерживают индивидуальные веса примеров. Применяются два критерия.</w:t>
      </w:r>
    </w:p>
    <w:p>
      <w:pPr>
        <w:spacing w:after="0" w:before="0" w:line="360"/>
        <w:ind w:firstLine="720"/>
        <w:jc w:val="both"/>
      </w:pPr>
      <w:r>
        <w:rPr>
          <w:rFonts w:ascii="Times New Roman" w:cs="Times New Roman" w:eastAsia="Times New Roman" w:hAnsi="Times New Roman"/>
          <w:b w:val="false"/>
          <w:bCs w:val="false"/>
          <w:i w:val="false"/>
          <w:iCs w:val="false"/>
          <w:sz w:val="28"/>
          <w:szCs w:val="28"/>
        </w:rPr>
        <w:t xml:space="preserve">Первый — принадлежность к синтетическим данным. Синтетические примеры получают вес 0,12, реальные — 1,0. Это означает, что один реальный пример эквивалентен примерно 8 синтетическим по вкладу в функцию потерь. Помимо весов, доля синтетических примеров ограничивается случайной подвыборкой до 30% от объёма обучающего набора. Такой двухуровневый контроль обеспечивает улучшение распознавания плохих переводов без смещения модели в сторону синтетически заниженных оценок.</w:t>
      </w:r>
    </w:p>
    <w:p>
      <w:pPr>
        <w:spacing w:after="0" w:before="0" w:line="360"/>
        <w:ind w:firstLine="720"/>
        <w:jc w:val="both"/>
      </w:pPr>
      <w:r>
        <w:rPr>
          <w:rFonts w:ascii="Times New Roman" w:cs="Times New Roman" w:eastAsia="Times New Roman" w:hAnsi="Times New Roman"/>
          <w:b w:val="false"/>
          <w:bCs w:val="false"/>
          <w:i w:val="false"/>
          <w:iCs w:val="false"/>
          <w:sz w:val="28"/>
          <w:szCs w:val="28"/>
        </w:rPr>
        <w:t xml:space="preserve">Второй критерий — значение нормализованной оценки. Механизм повышенного веса для примеров с оценкой ниже 0,15 предусмотрен в архитектуре, однако в текущей конфигурации отключён (вес 1,0). Он может быть активирован при необходимости усилить распознавание переводов очень низкого качества.</w:t>
      </w:r>
    </w:p>
    <w:p>
      <w:pPr>
        <w:pStyle w:val="Heading2"/>
        <w:spacing w:after="80" w:before="200" w:line="360"/>
        <w:ind w:firstLine="0"/>
        <w:jc w:val="left"/>
      </w:pPr>
      <w:r>
        <w:rPr>
          <w:rFonts w:ascii="Times New Roman" w:cs="Times New Roman" w:eastAsia="Times New Roman" w:hAnsi="Times New Roman"/>
          <w:b/>
          <w:bCs/>
          <w:sz w:val="28"/>
          <w:szCs w:val="28"/>
        </w:rPr>
        <w:t xml:space="preserve">4.5. Ансамблирование и доверительный интервал</w:t>
      </w:r>
    </w:p>
    <w:p>
      <w:pPr>
        <w:spacing w:after="0" w:before="0" w:line="360"/>
        <w:ind w:firstLine="720"/>
        <w:jc w:val="both"/>
      </w:pPr>
      <w:r>
        <w:rPr>
          <w:rFonts w:ascii="Times New Roman" w:cs="Times New Roman" w:eastAsia="Times New Roman" w:hAnsi="Times New Roman"/>
          <w:b w:val="false"/>
          <w:bCs w:val="false"/>
          <w:i w:val="false"/>
          <w:iCs w:val="false"/>
          <w:sz w:val="28"/>
          <w:szCs w:val="28"/>
        </w:rPr>
        <w:t xml:space="preserve">Итоговая оценка вычисляется как взвешенное среднее предсказаний трёх моделей:</w:t>
      </w:r>
    </w:p>
    <w:p>
      <w:pPr>
        <w:spacing w:after="80" w:before="80" w:line="360"/>
        <w:jc w:val="center"/>
      </w:pPr>
      <w:r>
        <w:rPr>
          <w:rFonts w:ascii="Times New Roman" w:cs="Times New Roman" w:eastAsia="Times New Roman" w:hAnsi="Times New Roman"/>
          <w:i/>
          <w:iCs/>
          <w:sz w:val="28"/>
          <w:szCs w:val="28"/>
        </w:rPr>
        <w:t xml:space="preserve">ŷ = 0,45·ŷ_XGB + 0,35·ŷ_RF + 0,20·ŷ_Ridge</w:t>
      </w:r>
    </w:p>
    <w:p>
      <w:pPr>
        <w:spacing w:after="0" w:before="0" w:line="360"/>
        <w:ind w:firstLine="720"/>
        <w:jc w:val="both"/>
      </w:pPr>
      <w:r>
        <w:rPr>
          <w:rFonts w:ascii="Times New Roman" w:cs="Times New Roman" w:eastAsia="Times New Roman" w:hAnsi="Times New Roman"/>
          <w:b w:val="false"/>
          <w:bCs w:val="false"/>
          <w:i w:val="false"/>
          <w:iCs w:val="false"/>
          <w:sz w:val="28"/>
          <w:szCs w:val="28"/>
        </w:rPr>
        <w:t xml:space="preserve">Веса отражают эмпирически наблюдаемую точность моделей: градиентный бустинг показывает наилучшую корреляцию с оценками людей, случайный лес занимает второе место, гребневая регрессия — третье. Присутствие гребневой регрессии повышает устойчивость к случайным выбросам в предсказаниях. Если одна из моделей недоступна, веса оставшихся нормализуются так, чтобы их сумма оставалась равной 1.</w:t>
      </w:r>
    </w:p>
    <w:p>
      <w:pPr>
        <w:spacing w:after="0" w:before="0" w:line="360"/>
        <w:ind w:firstLine="720"/>
        <w:jc w:val="both"/>
      </w:pPr>
      <w:r>
        <w:rPr>
          <w:rFonts w:ascii="Times New Roman" w:cs="Times New Roman" w:eastAsia="Times New Roman" w:hAnsi="Times New Roman"/>
          <w:b w:val="false"/>
          <w:bCs w:val="false"/>
          <w:i w:val="false"/>
          <w:iCs w:val="false"/>
          <w:sz w:val="28"/>
          <w:szCs w:val="28"/>
        </w:rPr>
        <w:t xml:space="preserve">Аналогично ансамблируются объяснения: для каждого признака взвешенное среднее его вкладов по всем моделям вычисляется с теми же коэффициентами.</w:t>
      </w:r>
    </w:p>
    <w:p>
      <w:pPr>
        <w:spacing w:after="0" w:before="0" w:line="360"/>
        <w:ind w:firstLine="720"/>
        <w:jc w:val="both"/>
      </w:pPr>
      <w:r>
        <w:rPr>
          <w:rFonts w:ascii="Times New Roman" w:cs="Times New Roman" w:eastAsia="Times New Roman" w:hAnsi="Times New Roman"/>
          <w:b w:val="false"/>
          <w:bCs w:val="false"/>
          <w:i w:val="false"/>
          <w:iCs w:val="false"/>
          <w:sz w:val="28"/>
          <w:szCs w:val="28"/>
        </w:rPr>
        <w:t xml:space="preserve">Для каждой оценки вычисляются мера неопределённости и доверительный интервал. Для градиентного бустинга и гребневой регрессии применяется аппроксимация бета-распределением. Параметры распределения определяются через концентрацию κ = 10:</w:t>
      </w:r>
    </w:p>
    <w:p>
      <w:pPr>
        <w:spacing w:after="80" w:before="80" w:line="360"/>
        <w:jc w:val="center"/>
      </w:pPr>
      <w:r>
        <w:rPr>
          <w:rFonts w:ascii="Times New Roman" w:cs="Times New Roman" w:eastAsia="Times New Roman" w:hAnsi="Times New Roman"/>
          <w:i/>
          <w:iCs/>
          <w:sz w:val="28"/>
          <w:szCs w:val="28"/>
        </w:rPr>
        <w:t xml:space="preserve">α = ŷ · κ,   β = (1 − ŷ) · κ</w:t>
      </w:r>
    </w:p>
    <w:p>
      <w:pPr>
        <w:spacing w:after="0" w:before="0" w:line="360"/>
        <w:ind w:firstLine="720"/>
        <w:jc w:val="both"/>
      </w:pPr>
      <w:r>
        <w:rPr>
          <w:rFonts w:ascii="Times New Roman" w:cs="Times New Roman" w:eastAsia="Times New Roman" w:hAnsi="Times New Roman"/>
          <w:b w:val="false"/>
          <w:bCs w:val="false"/>
          <w:i w:val="false"/>
          <w:iCs w:val="false"/>
          <w:sz w:val="28"/>
          <w:szCs w:val="28"/>
        </w:rPr>
        <w:t xml:space="preserve">Дисперсия бета-распределения с такими параметрами служит мерой неопределённости, квантили порядка 0,025 и 0,975 — границами 95%-го доверительного интервала. Для случайного леса неопределённость вычисляется через разброс деревьев, как описано в разделе 4.3. Итоговая неопределённость ансамбля — взвешенное среднее неопределённостей отдельных моделей с теми же коэффициентами.</w:t>
      </w:r>
    </w:p>
    <w:p>
      <w:pPr>
        <w:pStyle w:val="Heading2"/>
        <w:spacing w:after="80" w:before="200" w:line="360"/>
        <w:ind w:firstLine="0"/>
        <w:jc w:val="left"/>
      </w:pPr>
      <w:r>
        <w:rPr>
          <w:rFonts w:ascii="Times New Roman" w:cs="Times New Roman" w:eastAsia="Times New Roman" w:hAnsi="Times New Roman"/>
          <w:b/>
          <w:bCs/>
          <w:sz w:val="28"/>
          <w:szCs w:val="28"/>
        </w:rPr>
        <w:t xml:space="preserve">4.6. Объяснение предсказаний методом SHAP</w:t>
      </w:r>
    </w:p>
    <w:p>
      <w:pPr>
        <w:spacing w:after="0" w:before="0" w:line="360"/>
        <w:ind w:firstLine="720"/>
        <w:jc w:val="both"/>
      </w:pPr>
      <w:r>
        <w:rPr>
          <w:rFonts w:ascii="Times New Roman" w:cs="Times New Roman" w:eastAsia="Times New Roman" w:hAnsi="Times New Roman"/>
          <w:b w:val="false"/>
          <w:bCs w:val="false"/>
          <w:i w:val="false"/>
          <w:iCs w:val="false"/>
          <w:sz w:val="28"/>
          <w:szCs w:val="28"/>
        </w:rPr>
        <w:t xml:space="preserve">Метод SHAP (SHapley Additive exPlanations) разработан Скоттом Лундбергом и Су-Ин Ли в 2017 году и основан на аппарате кооперативной теории игр. Значение Шепли для игрока определяется как его средний предельный вклад по всем возможным коалициям остальных игроков. Применительно к задаче интерпретации модели: каждый признак — «игрок», «выигрыш» — предсказание модели, значение SHAP показывает, насколько данный признак изменяет предсказание относительно среднего по обучающим данным. Сумма всех значений SHAP равна разности между конкретным предсказанием и средним:</w:t>
      </w:r>
    </w:p>
    <w:p>
      <w:pPr>
        <w:spacing w:after="80" w:before="80" w:line="360"/>
        <w:jc w:val="center"/>
      </w:pPr>
      <w:r>
        <w:rPr>
          <w:rFonts w:ascii="Times New Roman" w:cs="Times New Roman" w:eastAsia="Times New Roman" w:hAnsi="Times New Roman"/>
          <w:i/>
          <w:iCs/>
          <w:sz w:val="28"/>
          <w:szCs w:val="28"/>
        </w:rPr>
        <w:t xml:space="preserve">f(x) = φ₀ + Σᵢ φᵢ</w:t>
      </w:r>
    </w:p>
    <w:p>
      <w:pPr>
        <w:spacing w:after="0" w:before="0" w:line="360"/>
        <w:ind w:firstLine="720"/>
        <w:jc w:val="both"/>
      </w:pPr>
      <w:r>
        <w:rPr>
          <w:rFonts w:ascii="Times New Roman" w:cs="Times New Roman" w:eastAsia="Times New Roman" w:hAnsi="Times New Roman"/>
          <w:b w:val="false"/>
          <w:bCs w:val="false"/>
          <w:i w:val="false"/>
          <w:iCs w:val="false"/>
          <w:sz w:val="28"/>
          <w:szCs w:val="28"/>
        </w:rPr>
        <w:t xml:space="preserve">где φ₀ — базовое значение (среднее предсказание), φᵢ — вклад i-го признака. Положительный φᵢ означает, что признак увеличивает оценку качества; отрицательный — снижает.</w:t>
      </w:r>
    </w:p>
    <w:p>
      <w:pPr>
        <w:spacing w:after="0" w:before="0" w:line="360"/>
        <w:ind w:firstLine="720"/>
        <w:jc w:val="both"/>
      </w:pPr>
      <w:r>
        <w:rPr>
          <w:rFonts w:ascii="Times New Roman" w:cs="Times New Roman" w:eastAsia="Times New Roman" w:hAnsi="Times New Roman"/>
          <w:b w:val="false"/>
          <w:bCs w:val="false"/>
          <w:i w:val="false"/>
          <w:iCs w:val="false"/>
          <w:sz w:val="28"/>
          <w:szCs w:val="28"/>
        </w:rPr>
        <w:t xml:space="preserve">Для градиентного бустинга и случайного леса применяется специализированный алгоритм TreeExplainer из библиотеки SHAP. Его вычислительная сложность полиномиальна по числу листьев (а не экспоненциальна по числу признаков, как у полного перебора коалиций), что делает применение практически осуществимым. Алгоритм вычисляет точные значения SHAP через рекурсивный обход дерева. Для гребневой регрессии вклад каждого признака вычисляется как произведение его значения на весовой коэффициент модели.</w:t>
      </w:r>
    </w:p>
    <w:p>
      <w:pPr>
        <w:spacing w:after="0" w:before="0" w:line="360"/>
        <w:ind w:firstLine="720"/>
        <w:jc w:val="both"/>
      </w:pPr>
      <w:r>
        <w:rPr>
          <w:rFonts w:ascii="Times New Roman" w:cs="Times New Roman" w:eastAsia="Times New Roman" w:hAnsi="Times New Roman"/>
          <w:b w:val="false"/>
          <w:bCs w:val="false"/>
          <w:i w:val="false"/>
          <w:iCs w:val="false"/>
          <w:sz w:val="28"/>
          <w:szCs w:val="28"/>
        </w:rPr>
        <w:t xml:space="preserve">Исходные значения SHAP (вектор из 43 чисел) агрегируются по пяти категориям таксономии MQM через заранее заданное соответствие каждого признака одной категории: точность передачи смысла, языковая грамотность, терминология, локализация, стиль. Несколько контекстных признаков (длины текстов, средняя длина слова) не относятся ни к одной категории и исключаются из объяснения. Вклады признаков одной категории суммируются.</w:t>
      </w:r>
    </w:p>
    <w:p>
      <w:pPr>
        <w:spacing w:after="0" w:before="0" w:line="360"/>
        <w:ind w:firstLine="720"/>
        <w:jc w:val="both"/>
      </w:pPr>
      <w:r>
        <w:rPr>
          <w:rFonts w:ascii="Times New Roman" w:cs="Times New Roman" w:eastAsia="Times New Roman" w:hAnsi="Times New Roman"/>
          <w:b w:val="false"/>
          <w:bCs w:val="false"/>
          <w:i w:val="false"/>
          <w:iCs w:val="false"/>
          <w:sz w:val="28"/>
          <w:szCs w:val="28"/>
        </w:rPr>
        <w:t xml:space="preserve">Для отображения в интерфейсе объяснение преобразуется в «доли потери»: из всех значений SHAP отбираются только отрицательные, их абсолютные значения нормализуются так, чтобы в сумме составлять 100% от расстояния между полученной оценкой и идеальной оценкой 1. Это позволяет интерпретировать результат следующим образом: «из N процентных пунктов, на которые перевод не дотягивает до идеального, X% объясняется проблемами со смысловой точностью, Y% — языковой грамотностью» и т.д. Категории с долей ниже 0,5% отбрасываются как незначительные.</w:t>
      </w:r>
    </w:p>
    <w:sectPr>
      <w:pgSz w:w="11906" w:h="16838" w:orient="portrait"/>
      <w:pgMar w:top="1418" w:right="850" w:bottom="1418"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line="36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80" w:before="200" w:line="360"/>
      <w:outlineLvl w:val="1"/>
    </w:pPr>
    <w:rPr>
      <w:rFonts w:ascii="Times New Roman" w:cs="Times New Roman" w:eastAsia="Times New Roman" w:hAnsi="Times New Roman"/>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2026-05-18T21:35:39.896Z</dcterms:created>
  <dcterms:modified xsi:type="dcterms:W3CDTF">2026-05-18T21:35:39.896Z</dcterms:modified>
</cp:coreProperties>
</file>

<file path=docProps/custom.xml><?xml version="1.0" encoding="utf-8"?>
<Properties xmlns="http://schemas.openxmlformats.org/officeDocument/2006/custom-properties" xmlns:vt="http://schemas.openxmlformats.org/officeDocument/2006/docPropsVTypes"/>
</file>