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ОТЧЁТ О ПРОИЗВОДСТВЕННОЙ ПРАКТИКЕ</w:t>
      </w:r>
    </w:p>
    <w:p>
      <w:pPr>
        <w:spacing w:after="480" w:before="0"/>
        <w:jc w:val="center"/>
      </w:pPr>
      <w:r>
        <w:rPr>
          <w:rFonts w:ascii="Times New Roman" w:cs="Times New Roman" w:eastAsia="Times New Roman" w:hAnsi="Times New Roman"/>
          <w:b/>
          <w:bCs/>
          <w:sz w:val="28"/>
          <w:szCs w:val="28"/>
        </w:rPr>
        <w:t xml:space="preserve">Тема: Описание логической структуры системы автоматической оценки качества машинного перевода IMTQE</w:t>
      </w:r>
    </w:p>
    <w:p>
      <w:pPr>
        <w:pStyle w:val="Heading1"/>
        <w:spacing w:after="240" w:before="480"/>
        <w:jc w:val="center"/>
        <w:outlineLvl w:val="0"/>
      </w:pPr>
      <w:r>
        <w:rPr>
          <w:rFonts w:ascii="Times New Roman" w:cs="Times New Roman" w:eastAsia="Times New Roman" w:hAnsi="Times New Roman"/>
          <w:b/>
          <w:bCs/>
          <w:sz w:val="28"/>
          <w:szCs w:val="28"/>
        </w:rPr>
        <w:t xml:space="preserve">ОГЛАВЛЕНИЕ</w:t>
      </w:r>
    </w:p>
    <w:p>
      <w:pPr>
        <w:tabs>
          <w:tab w:val="right" w:pos="9026"/>
        </w:tabs>
        <w:spacing w:after="0" w:line="360"/>
      </w:pPr>
      <w:r>
        <w:rPr>
          <w:rFonts w:ascii="Times New Roman" w:cs="Times New Roman" w:eastAsia="Times New Roman" w:hAnsi="Times New Roman"/>
          <w:sz w:val="28"/>
          <w:szCs w:val="28"/>
        </w:rPr>
        <w:t xml:space="preserve">ВВЕДЕНИЕ</w:t>
      </w:r>
      <w:r>
        <w:rPr>
          <w:rFonts w:ascii="Times New Roman" w:cs="Times New Roman" w:eastAsia="Times New Roman" w:hAnsi="Times New Roman"/>
          <w:sz w:val="28"/>
          <w:szCs w:val="28"/>
        </w:rPr>
        <w:t xml:space="preserve">	3</w:t>
      </w:r>
    </w:p>
    <w:p>
      <w:pPr>
        <w:tabs>
          <w:tab w:val="right" w:pos="9026"/>
        </w:tabs>
        <w:spacing w:after="0" w:line="360"/>
      </w:pPr>
      <w:r>
        <w:rPr>
          <w:rFonts w:ascii="Times New Roman" w:cs="Times New Roman" w:eastAsia="Times New Roman" w:hAnsi="Times New Roman"/>
          <w:sz w:val="28"/>
          <w:szCs w:val="28"/>
        </w:rPr>
        <w:t xml:space="preserve">1. ДАННЫЕ</w:t>
      </w:r>
      <w:r>
        <w:rPr>
          <w:rFonts w:ascii="Times New Roman" w:cs="Times New Roman" w:eastAsia="Times New Roman" w:hAnsi="Times New Roman"/>
          <w:sz w:val="28"/>
          <w:szCs w:val="28"/>
        </w:rPr>
        <w:t xml:space="preserve">	5</w:t>
      </w:r>
    </w:p>
    <w:p>
      <w:pPr>
        <w:tabs>
          <w:tab w:val="right" w:pos="9026"/>
        </w:tabs>
        <w:spacing w:after="0" w:line="360"/>
      </w:pPr>
      <w:r>
        <w:rPr>
          <w:rFonts w:ascii="Times New Roman" w:cs="Times New Roman" w:eastAsia="Times New Roman" w:hAnsi="Times New Roman"/>
          <w:sz w:val="28"/>
          <w:szCs w:val="28"/>
        </w:rPr>
        <w:t xml:space="preserve">   1.1. Наборы данных</w:t>
      </w:r>
      <w:r>
        <w:rPr>
          <w:rFonts w:ascii="Times New Roman" w:cs="Times New Roman" w:eastAsia="Times New Roman" w:hAnsi="Times New Roman"/>
          <w:sz w:val="28"/>
          <w:szCs w:val="28"/>
        </w:rPr>
        <w:t xml:space="preserve">	5</w:t>
      </w:r>
    </w:p>
    <w:p>
      <w:pPr>
        <w:tabs>
          <w:tab w:val="right" w:pos="9026"/>
        </w:tabs>
        <w:spacing w:after="0" w:line="360"/>
      </w:pPr>
      <w:r>
        <w:rPr>
          <w:rFonts w:ascii="Times New Roman" w:cs="Times New Roman" w:eastAsia="Times New Roman" w:hAnsi="Times New Roman"/>
          <w:sz w:val="28"/>
          <w:szCs w:val="28"/>
        </w:rPr>
        <w:t xml:space="preserve">   1.2. Синтетическое расширение обучающего набора</w:t>
      </w:r>
      <w:r>
        <w:rPr>
          <w:rFonts w:ascii="Times New Roman" w:cs="Times New Roman" w:eastAsia="Times New Roman" w:hAnsi="Times New Roman"/>
          <w:sz w:val="28"/>
          <w:szCs w:val="28"/>
        </w:rPr>
        <w:t xml:space="preserve">	6</w:t>
      </w:r>
    </w:p>
    <w:p>
      <w:pPr>
        <w:tabs>
          <w:tab w:val="right" w:pos="9026"/>
        </w:tabs>
        <w:spacing w:after="0" w:line="360"/>
      </w:pPr>
      <w:r>
        <w:rPr>
          <w:rFonts w:ascii="Times New Roman" w:cs="Times New Roman" w:eastAsia="Times New Roman" w:hAnsi="Times New Roman"/>
          <w:sz w:val="28"/>
          <w:szCs w:val="28"/>
        </w:rPr>
        <w:t xml:space="preserve">2. АРХИТЕКТУРА СИСТЕМЫ</w:t>
      </w:r>
      <w:r>
        <w:rPr>
          <w:rFonts w:ascii="Times New Roman" w:cs="Times New Roman" w:eastAsia="Times New Roman" w:hAnsi="Times New Roman"/>
          <w:sz w:val="28"/>
          <w:szCs w:val="28"/>
        </w:rPr>
        <w:t xml:space="preserve">	7</w:t>
      </w:r>
    </w:p>
    <w:p>
      <w:pPr>
        <w:tabs>
          <w:tab w:val="right" w:pos="9026"/>
        </w:tabs>
        <w:spacing w:after="0" w:line="360"/>
      </w:pPr>
      <w:r>
        <w:rPr>
          <w:rFonts w:ascii="Times New Roman" w:cs="Times New Roman" w:eastAsia="Times New Roman" w:hAnsi="Times New Roman"/>
          <w:sz w:val="28"/>
          <w:szCs w:val="28"/>
        </w:rPr>
        <w:t xml:space="preserve">3. ПРИЗНАКОВОЕ ПРОСТРАНСТВО</w:t>
      </w:r>
      <w:r>
        <w:rPr>
          <w:rFonts w:ascii="Times New Roman" w:cs="Times New Roman" w:eastAsia="Times New Roman" w:hAnsi="Times New Roman"/>
          <w:sz w:val="28"/>
          <w:szCs w:val="28"/>
        </w:rPr>
        <w:t xml:space="preserve">	9</w:t>
      </w:r>
    </w:p>
    <w:p>
      <w:pPr>
        <w:tabs>
          <w:tab w:val="right" w:pos="9026"/>
        </w:tabs>
        <w:spacing w:after="0" w:line="360"/>
      </w:pPr>
      <w:r>
        <w:rPr>
          <w:rFonts w:ascii="Times New Roman" w:cs="Times New Roman" w:eastAsia="Times New Roman" w:hAnsi="Times New Roman"/>
          <w:sz w:val="28"/>
          <w:szCs w:val="28"/>
        </w:rPr>
        <w:t xml:space="preserve">   3.1. Структурные и форматные признаки</w:t>
      </w:r>
      <w:r>
        <w:rPr>
          <w:rFonts w:ascii="Times New Roman" w:cs="Times New Roman" w:eastAsia="Times New Roman" w:hAnsi="Times New Roman"/>
          <w:sz w:val="28"/>
          <w:szCs w:val="28"/>
        </w:rPr>
        <w:t xml:space="preserve">	9</w:t>
      </w:r>
    </w:p>
    <w:p>
      <w:pPr>
        <w:tabs>
          <w:tab w:val="right" w:pos="9026"/>
        </w:tabs>
        <w:spacing w:after="0" w:line="360"/>
      </w:pPr>
      <w:r>
        <w:rPr>
          <w:rFonts w:ascii="Times New Roman" w:cs="Times New Roman" w:eastAsia="Times New Roman" w:hAnsi="Times New Roman"/>
          <w:sz w:val="28"/>
          <w:szCs w:val="28"/>
        </w:rPr>
        <w:t xml:space="preserve">   3.2. Лингвистические признаки</w:t>
      </w:r>
      <w:r>
        <w:rPr>
          <w:rFonts w:ascii="Times New Roman" w:cs="Times New Roman" w:eastAsia="Times New Roman" w:hAnsi="Times New Roman"/>
          <w:sz w:val="28"/>
          <w:szCs w:val="28"/>
        </w:rPr>
        <w:t xml:space="preserve">	10</w:t>
      </w:r>
    </w:p>
    <w:p>
      <w:pPr>
        <w:tabs>
          <w:tab w:val="right" w:pos="9026"/>
        </w:tabs>
        <w:spacing w:after="0" w:line="360"/>
      </w:pPr>
      <w:r>
        <w:rPr>
          <w:rFonts w:ascii="Times New Roman" w:cs="Times New Roman" w:eastAsia="Times New Roman" w:hAnsi="Times New Roman"/>
          <w:sz w:val="28"/>
          <w:szCs w:val="28"/>
        </w:rPr>
        <w:t xml:space="preserve">   3.3. Семантические признаки</w:t>
      </w:r>
      <w:r>
        <w:rPr>
          <w:rFonts w:ascii="Times New Roman" w:cs="Times New Roman" w:eastAsia="Times New Roman" w:hAnsi="Times New Roman"/>
          <w:sz w:val="28"/>
          <w:szCs w:val="28"/>
        </w:rPr>
        <w:t xml:space="preserve">	11</w:t>
      </w:r>
    </w:p>
    <w:p>
      <w:pPr>
        <w:tabs>
          <w:tab w:val="right" w:pos="9026"/>
        </w:tabs>
        <w:spacing w:after="0" w:line="360"/>
      </w:pPr>
      <w:r>
        <w:rPr>
          <w:rFonts w:ascii="Times New Roman" w:cs="Times New Roman" w:eastAsia="Times New Roman" w:hAnsi="Times New Roman"/>
          <w:sz w:val="28"/>
          <w:szCs w:val="28"/>
        </w:rPr>
        <w:t xml:space="preserve">   3.4. Признаки языковой гладкости</w:t>
      </w:r>
      <w:r>
        <w:rPr>
          <w:rFonts w:ascii="Times New Roman" w:cs="Times New Roman" w:eastAsia="Times New Roman" w:hAnsi="Times New Roman"/>
          <w:sz w:val="28"/>
          <w:szCs w:val="28"/>
        </w:rPr>
        <w:t xml:space="preserve">	12</w:t>
      </w:r>
    </w:p>
    <w:p>
      <w:pPr>
        <w:tabs>
          <w:tab w:val="right" w:pos="9026"/>
        </w:tabs>
        <w:spacing w:after="0" w:line="360"/>
      </w:pPr>
      <w:r>
        <w:rPr>
          <w:rFonts w:ascii="Times New Roman" w:cs="Times New Roman" w:eastAsia="Times New Roman" w:hAnsi="Times New Roman"/>
          <w:sz w:val="28"/>
          <w:szCs w:val="28"/>
        </w:rPr>
        <w:t xml:space="preserve">   3.5. Производные признаки</w:t>
      </w:r>
      <w:r>
        <w:rPr>
          <w:rFonts w:ascii="Times New Roman" w:cs="Times New Roman" w:eastAsia="Times New Roman" w:hAnsi="Times New Roman"/>
          <w:sz w:val="28"/>
          <w:szCs w:val="28"/>
        </w:rPr>
        <w:t xml:space="preserve">	13</w:t>
      </w:r>
    </w:p>
    <w:p>
      <w:pPr>
        <w:tabs>
          <w:tab w:val="right" w:pos="9026"/>
        </w:tabs>
        <w:spacing w:after="0" w:line="360"/>
      </w:pPr>
      <w:r>
        <w:rPr>
          <w:rFonts w:ascii="Times New Roman" w:cs="Times New Roman" w:eastAsia="Times New Roman" w:hAnsi="Times New Roman"/>
          <w:sz w:val="28"/>
          <w:szCs w:val="28"/>
        </w:rPr>
        <w:t xml:space="preserve">4. МОДЕЛИ ОЦЕНКИ КАЧЕСТВА НА УРОВНЕ ПРЕДЛОЖЕНИЯ</w:t>
      </w:r>
      <w:r>
        <w:rPr>
          <w:rFonts w:ascii="Times New Roman" w:cs="Times New Roman" w:eastAsia="Times New Roman" w:hAnsi="Times New Roman"/>
          <w:sz w:val="28"/>
          <w:szCs w:val="28"/>
        </w:rPr>
        <w:t xml:space="preserve">	14</w:t>
      </w:r>
    </w:p>
    <w:p>
      <w:pPr>
        <w:tabs>
          <w:tab w:val="right" w:pos="9026"/>
        </w:tabs>
        <w:spacing w:after="0" w:line="360"/>
      </w:pPr>
      <w:r>
        <w:rPr>
          <w:rFonts w:ascii="Times New Roman" w:cs="Times New Roman" w:eastAsia="Times New Roman" w:hAnsi="Times New Roman"/>
          <w:sz w:val="28"/>
          <w:szCs w:val="28"/>
        </w:rPr>
        <w:t xml:space="preserve">   4.1. Градиентный бустинг</w:t>
      </w:r>
      <w:r>
        <w:rPr>
          <w:rFonts w:ascii="Times New Roman" w:cs="Times New Roman" w:eastAsia="Times New Roman" w:hAnsi="Times New Roman"/>
          <w:sz w:val="28"/>
          <w:szCs w:val="28"/>
        </w:rPr>
        <w:t xml:space="preserve">	14</w:t>
      </w:r>
    </w:p>
    <w:p>
      <w:pPr>
        <w:tabs>
          <w:tab w:val="right" w:pos="9026"/>
        </w:tabs>
        <w:spacing w:after="0" w:line="360"/>
      </w:pPr>
      <w:r>
        <w:rPr>
          <w:rFonts w:ascii="Times New Roman" w:cs="Times New Roman" w:eastAsia="Times New Roman" w:hAnsi="Times New Roman"/>
          <w:sz w:val="28"/>
          <w:szCs w:val="28"/>
        </w:rPr>
        <w:t xml:space="preserve">   4.2. Гребневая регрессия</w:t>
      </w:r>
      <w:r>
        <w:rPr>
          <w:rFonts w:ascii="Times New Roman" w:cs="Times New Roman" w:eastAsia="Times New Roman" w:hAnsi="Times New Roman"/>
          <w:sz w:val="28"/>
          <w:szCs w:val="28"/>
        </w:rPr>
        <w:t xml:space="preserve">	15</w:t>
      </w:r>
    </w:p>
    <w:p>
      <w:pPr>
        <w:tabs>
          <w:tab w:val="right" w:pos="9026"/>
        </w:tabs>
        <w:spacing w:after="0" w:line="360"/>
      </w:pPr>
      <w:r>
        <w:rPr>
          <w:rFonts w:ascii="Times New Roman" w:cs="Times New Roman" w:eastAsia="Times New Roman" w:hAnsi="Times New Roman"/>
          <w:sz w:val="28"/>
          <w:szCs w:val="28"/>
        </w:rPr>
        <w:t xml:space="preserve">   4.3. Случайный лес</w:t>
      </w:r>
      <w:r>
        <w:rPr>
          <w:rFonts w:ascii="Times New Roman" w:cs="Times New Roman" w:eastAsia="Times New Roman" w:hAnsi="Times New Roman"/>
          <w:sz w:val="28"/>
          <w:szCs w:val="28"/>
        </w:rPr>
        <w:t xml:space="preserve">	16</w:t>
      </w:r>
    </w:p>
    <w:p>
      <w:pPr>
        <w:tabs>
          <w:tab w:val="right" w:pos="9026"/>
        </w:tabs>
        <w:spacing w:after="0" w:line="360"/>
      </w:pPr>
      <w:r>
        <w:rPr>
          <w:rFonts w:ascii="Times New Roman" w:cs="Times New Roman" w:eastAsia="Times New Roman" w:hAnsi="Times New Roman"/>
          <w:sz w:val="28"/>
          <w:szCs w:val="28"/>
        </w:rPr>
        <w:t xml:space="preserve">   4.4. Управление весами обучающих примеров</w:t>
      </w:r>
      <w:r>
        <w:rPr>
          <w:rFonts w:ascii="Times New Roman" w:cs="Times New Roman" w:eastAsia="Times New Roman" w:hAnsi="Times New Roman"/>
          <w:sz w:val="28"/>
          <w:szCs w:val="28"/>
        </w:rPr>
        <w:t xml:space="preserve">	16</w:t>
      </w:r>
    </w:p>
    <w:p>
      <w:pPr>
        <w:tabs>
          <w:tab w:val="right" w:pos="9026"/>
        </w:tabs>
        <w:spacing w:after="0" w:line="360"/>
      </w:pPr>
      <w:r>
        <w:rPr>
          <w:rFonts w:ascii="Times New Roman" w:cs="Times New Roman" w:eastAsia="Times New Roman" w:hAnsi="Times New Roman"/>
          <w:sz w:val="28"/>
          <w:szCs w:val="28"/>
        </w:rPr>
        <w:t xml:space="preserve">   4.5. Ансамблирование и доверительный интервал</w:t>
      </w:r>
      <w:r>
        <w:rPr>
          <w:rFonts w:ascii="Times New Roman" w:cs="Times New Roman" w:eastAsia="Times New Roman" w:hAnsi="Times New Roman"/>
          <w:sz w:val="28"/>
          <w:szCs w:val="28"/>
        </w:rPr>
        <w:t xml:space="preserve">	17</w:t>
      </w:r>
    </w:p>
    <w:p>
      <w:pPr>
        <w:tabs>
          <w:tab w:val="right" w:pos="9026"/>
        </w:tabs>
        <w:spacing w:after="0" w:line="360"/>
      </w:pPr>
      <w:r>
        <w:rPr>
          <w:rFonts w:ascii="Times New Roman" w:cs="Times New Roman" w:eastAsia="Times New Roman" w:hAnsi="Times New Roman"/>
          <w:sz w:val="28"/>
          <w:szCs w:val="28"/>
        </w:rPr>
        <w:t xml:space="preserve">   4.6. Объяснение предсказаний методом SHAP</w:t>
      </w:r>
      <w:r>
        <w:rPr>
          <w:rFonts w:ascii="Times New Roman" w:cs="Times New Roman" w:eastAsia="Times New Roman" w:hAnsi="Times New Roman"/>
          <w:sz w:val="28"/>
          <w:szCs w:val="28"/>
        </w:rPr>
        <w:t xml:space="preserve">	18</w:t>
      </w:r>
    </w:p>
    <w:p>
      <w:pPr>
        <w:tabs>
          <w:tab w:val="right" w:pos="9026"/>
        </w:tabs>
        <w:spacing w:after="0" w:line="360"/>
      </w:pPr>
      <w:r>
        <w:rPr>
          <w:rFonts w:ascii="Times New Roman" w:cs="Times New Roman" w:eastAsia="Times New Roman" w:hAnsi="Times New Roman"/>
          <w:sz w:val="28"/>
          <w:szCs w:val="28"/>
        </w:rPr>
        <w:t xml:space="preserve">5. КЛАССИФИКАТОР ОШИБОЧНЫХ ФРАГМЕНТОВ</w:t>
      </w:r>
      <w:r>
        <w:rPr>
          <w:rFonts w:ascii="Times New Roman" w:cs="Times New Roman" w:eastAsia="Times New Roman" w:hAnsi="Times New Roman"/>
          <w:sz w:val="28"/>
          <w:szCs w:val="28"/>
        </w:rPr>
        <w:t xml:space="preserve">	19</w:t>
      </w:r>
    </w:p>
    <w:p>
      <w:pPr>
        <w:tabs>
          <w:tab w:val="right" w:pos="9026"/>
        </w:tabs>
        <w:spacing w:after="0" w:line="360"/>
      </w:pPr>
      <w:r>
        <w:rPr>
          <w:rFonts w:ascii="Times New Roman" w:cs="Times New Roman" w:eastAsia="Times New Roman" w:hAnsi="Times New Roman"/>
          <w:sz w:val="28"/>
          <w:szCs w:val="28"/>
        </w:rPr>
        <w:t xml:space="preserve">   5.1. Базовая модель XLM-RoBERTa</w:t>
      </w:r>
      <w:r>
        <w:rPr>
          <w:rFonts w:ascii="Times New Roman" w:cs="Times New Roman" w:eastAsia="Times New Roman" w:hAnsi="Times New Roman"/>
          <w:sz w:val="28"/>
          <w:szCs w:val="28"/>
        </w:rPr>
        <w:t xml:space="preserve">	19</w:t>
      </w:r>
    </w:p>
    <w:p>
      <w:pPr>
        <w:tabs>
          <w:tab w:val="right" w:pos="9026"/>
        </w:tabs>
        <w:spacing w:after="0" w:line="360"/>
      </w:pPr>
      <w:r>
        <w:rPr>
          <w:rFonts w:ascii="Times New Roman" w:cs="Times New Roman" w:eastAsia="Times New Roman" w:hAnsi="Times New Roman"/>
          <w:sz w:val="28"/>
          <w:szCs w:val="28"/>
        </w:rPr>
        <w:t xml:space="preserve">   5.2. Формирование входной последовательности</w:t>
      </w:r>
      <w:r>
        <w:rPr>
          <w:rFonts w:ascii="Times New Roman" w:cs="Times New Roman" w:eastAsia="Times New Roman" w:hAnsi="Times New Roman"/>
          <w:sz w:val="28"/>
          <w:szCs w:val="28"/>
        </w:rPr>
        <w:t xml:space="preserve">	20</w:t>
      </w:r>
    </w:p>
    <w:p>
      <w:pPr>
        <w:tabs>
          <w:tab w:val="right" w:pos="9026"/>
        </w:tabs>
        <w:spacing w:after="0" w:line="360"/>
      </w:pPr>
      <w:r>
        <w:rPr>
          <w:rFonts w:ascii="Times New Roman" w:cs="Times New Roman" w:eastAsia="Times New Roman" w:hAnsi="Times New Roman"/>
          <w:sz w:val="28"/>
          <w:szCs w:val="28"/>
        </w:rPr>
        <w:t xml:space="preserve">   5.3. Обучение</w:t>
      </w:r>
      <w:r>
        <w:rPr>
          <w:rFonts w:ascii="Times New Roman" w:cs="Times New Roman" w:eastAsia="Times New Roman" w:hAnsi="Times New Roman"/>
          <w:sz w:val="28"/>
          <w:szCs w:val="28"/>
        </w:rPr>
        <w:t xml:space="preserve">	21</w:t>
      </w:r>
    </w:p>
    <w:p>
      <w:pPr>
        <w:tabs>
          <w:tab w:val="right" w:pos="9026"/>
        </w:tabs>
        <w:spacing w:after="0" w:line="360"/>
      </w:pPr>
      <w:r>
        <w:rPr>
          <w:rFonts w:ascii="Times New Roman" w:cs="Times New Roman" w:eastAsia="Times New Roman" w:hAnsi="Times New Roman"/>
          <w:sz w:val="28"/>
          <w:szCs w:val="28"/>
        </w:rPr>
        <w:t xml:space="preserve">   5.4. Применение: пороги, группировка, штраф на оценку</w:t>
      </w:r>
      <w:r>
        <w:rPr>
          <w:rFonts w:ascii="Times New Roman" w:cs="Times New Roman" w:eastAsia="Times New Roman" w:hAnsi="Times New Roman"/>
          <w:sz w:val="28"/>
          <w:szCs w:val="28"/>
        </w:rPr>
        <w:t xml:space="preserve">	22</w:t>
      </w:r>
    </w:p>
    <w:p>
      <w:pPr>
        <w:tabs>
          <w:tab w:val="right" w:pos="9026"/>
        </w:tabs>
        <w:spacing w:after="0" w:line="360"/>
      </w:pPr>
      <w:r>
        <w:rPr>
          <w:rFonts w:ascii="Times New Roman" w:cs="Times New Roman" w:eastAsia="Times New Roman" w:hAnsi="Times New Roman"/>
          <w:sz w:val="28"/>
          <w:szCs w:val="28"/>
        </w:rPr>
        <w:t xml:space="preserve">6. ИНТЕРПРЕТАЦИЯ РЕЗУЛЬТАТОВ И ВЕБ-СЕРВИС</w:t>
      </w:r>
      <w:r>
        <w:rPr>
          <w:rFonts w:ascii="Times New Roman" w:cs="Times New Roman" w:eastAsia="Times New Roman" w:hAnsi="Times New Roman"/>
          <w:sz w:val="28"/>
          <w:szCs w:val="28"/>
        </w:rPr>
        <w:t xml:space="preserve">	23</w:t>
      </w:r>
    </w:p>
    <w:p>
      <w:pPr>
        <w:tabs>
          <w:tab w:val="right" w:pos="9026"/>
        </w:tabs>
        <w:spacing w:after="0" w:line="360"/>
      </w:pPr>
      <w:r>
        <w:rPr>
          <w:rFonts w:ascii="Times New Roman" w:cs="Times New Roman" w:eastAsia="Times New Roman" w:hAnsi="Times New Roman"/>
          <w:sz w:val="28"/>
          <w:szCs w:val="28"/>
        </w:rPr>
        <w:t xml:space="preserve">   6.1. Таксономия ошибок MQM</w:t>
      </w:r>
      <w:r>
        <w:rPr>
          <w:rFonts w:ascii="Times New Roman" w:cs="Times New Roman" w:eastAsia="Times New Roman" w:hAnsi="Times New Roman"/>
          <w:sz w:val="28"/>
          <w:szCs w:val="28"/>
        </w:rPr>
        <w:t xml:space="preserve">	23</w:t>
      </w:r>
    </w:p>
    <w:p>
      <w:pPr>
        <w:tabs>
          <w:tab w:val="right" w:pos="9026"/>
        </w:tabs>
        <w:spacing w:after="0" w:line="360"/>
      </w:pPr>
      <w:r>
        <w:rPr>
          <w:rFonts w:ascii="Times New Roman" w:cs="Times New Roman" w:eastAsia="Times New Roman" w:hAnsi="Times New Roman"/>
          <w:sz w:val="28"/>
          <w:szCs w:val="28"/>
        </w:rPr>
        <w:t xml:space="preserve">   6.2. Правила назначения типов ошибок</w:t>
      </w:r>
      <w:r>
        <w:rPr>
          <w:rFonts w:ascii="Times New Roman" w:cs="Times New Roman" w:eastAsia="Times New Roman" w:hAnsi="Times New Roman"/>
          <w:sz w:val="28"/>
          <w:szCs w:val="28"/>
        </w:rPr>
        <w:t xml:space="preserve">	24</w:t>
      </w:r>
    </w:p>
    <w:p>
      <w:pPr>
        <w:tabs>
          <w:tab w:val="right" w:pos="9026"/>
        </w:tabs>
        <w:spacing w:after="0" w:line="360"/>
      </w:pPr>
      <w:r>
        <w:rPr>
          <w:rFonts w:ascii="Times New Roman" w:cs="Times New Roman" w:eastAsia="Times New Roman" w:hAnsi="Times New Roman"/>
          <w:sz w:val="28"/>
          <w:szCs w:val="28"/>
        </w:rPr>
        <w:t xml:space="preserve">   6.3. Формула агрегации штрафного балла</w:t>
      </w:r>
      <w:r>
        <w:rPr>
          <w:rFonts w:ascii="Times New Roman" w:cs="Times New Roman" w:eastAsia="Times New Roman" w:hAnsi="Times New Roman"/>
          <w:sz w:val="28"/>
          <w:szCs w:val="28"/>
        </w:rPr>
        <w:t xml:space="preserve">	25</w:t>
      </w:r>
    </w:p>
    <w:p>
      <w:pPr>
        <w:tabs>
          <w:tab w:val="right" w:pos="9026"/>
        </w:tabs>
        <w:spacing w:after="0" w:line="360"/>
      </w:pPr>
      <w:r>
        <w:rPr>
          <w:rFonts w:ascii="Times New Roman" w:cs="Times New Roman" w:eastAsia="Times New Roman" w:hAnsi="Times New Roman"/>
          <w:sz w:val="28"/>
          <w:szCs w:val="28"/>
        </w:rPr>
        <w:t xml:space="preserve">   6.4. Веб-сервис и пользовательский интерфейс</w:t>
      </w:r>
      <w:r>
        <w:rPr>
          <w:rFonts w:ascii="Times New Roman" w:cs="Times New Roman" w:eastAsia="Times New Roman" w:hAnsi="Times New Roman"/>
          <w:sz w:val="28"/>
          <w:szCs w:val="28"/>
        </w:rPr>
        <w:t xml:space="preserve">	26</w:t>
      </w:r>
    </w:p>
    <w:p>
      <w:pPr>
        <w:tabs>
          <w:tab w:val="right" w:pos="9026"/>
        </w:tabs>
        <w:spacing w:after="0" w:line="360"/>
      </w:pPr>
      <w:r>
        <w:rPr>
          <w:rFonts w:ascii="Times New Roman" w:cs="Times New Roman" w:eastAsia="Times New Roman" w:hAnsi="Times New Roman"/>
          <w:sz w:val="28"/>
          <w:szCs w:val="28"/>
        </w:rPr>
        <w:t xml:space="preserve">ЗАКЛЮЧЕНИЕ</w:t>
      </w:r>
      <w:r>
        <w:rPr>
          <w:rFonts w:ascii="Times New Roman" w:cs="Times New Roman" w:eastAsia="Times New Roman" w:hAnsi="Times New Roman"/>
          <w:sz w:val="28"/>
          <w:szCs w:val="28"/>
        </w:rPr>
        <w:t xml:space="preserve">	28</w:t>
      </w:r>
    </w:p>
    <w:p>
      <w:pPr>
        <w:tabs>
          <w:tab w:val="right" w:pos="9026"/>
        </w:tabs>
        <w:spacing w:after="0" w:line="360"/>
      </w:pPr>
      <w:r>
        <w:rPr>
          <w:rFonts w:ascii="Times New Roman" w:cs="Times New Roman" w:eastAsia="Times New Roman" w:hAnsi="Times New Roman"/>
          <w:sz w:val="28"/>
          <w:szCs w:val="28"/>
        </w:rPr>
        <w:t xml:space="preserve">СПИСОК ИСПОЛЬЗОВАННЫХ ИСТОЧНИКОВ</w:t>
      </w:r>
      <w:r>
        <w:rPr>
          <w:rFonts w:ascii="Times New Roman" w:cs="Times New Roman" w:eastAsia="Times New Roman" w:hAnsi="Times New Roman"/>
          <w:sz w:val="28"/>
          <w:szCs w:val="28"/>
        </w:rPr>
        <w:t xml:space="preserve">	29</w:t>
      </w:r>
    </w:p>
    <w:p>
      <w:r>
        <w:br w:type="page"/>
      </w:r>
    </w:p>
    <w:p>
      <w:pPr>
        <w:pStyle w:val="Heading1"/>
        <w:spacing w:after="240" w:before="480"/>
        <w:jc w:val="center"/>
        <w:outlineLvl w:val="0"/>
      </w:pPr>
      <w:r>
        <w:rPr>
          <w:rFonts w:ascii="Times New Roman" w:cs="Times New Roman" w:eastAsia="Times New Roman" w:hAnsi="Times New Roman"/>
          <w:b/>
          <w:bCs/>
          <w:sz w:val="28"/>
          <w:szCs w:val="28"/>
        </w:rPr>
        <w:t xml:space="preserve">ВВЕДЕНИЕ</w:t>
      </w:r>
    </w:p>
    <w:p>
      <w:pPr>
        <w:spacing w:after="120" w:before="0" w:line="360"/>
        <w:ind w:firstLine="720"/>
        <w:jc w:val="both"/>
      </w:pPr>
      <w:r>
        <w:rPr>
          <w:rFonts w:ascii="Times New Roman" w:cs="Times New Roman" w:eastAsia="Times New Roman" w:hAnsi="Times New Roman"/>
          <w:sz w:val="28"/>
          <w:szCs w:val="28"/>
        </w:rPr>
        <w:t xml:space="preserve">Автоматическая оценка качества машинного перевода без использования эталонного текста является актуальной задачей прикладной лингвистики и машинного обучения. Системы машинного перевода получили широкое распространение в промышленности, однако качество их результатов существенно варьируется и требует проверки. Привлечение специалистов-переводчиков к ручной проверке каждого сегмента перевода экономически нецелесообразно при больших объёмах текстов, поэтому задача автоматической расстановки приоритетов и выявления проблемных фрагментов становится практически значимой.</w:t>
      </w:r>
    </w:p>
    <w:p>
      <w:pPr>
        <w:spacing w:after="120" w:before="0" w:line="360"/>
        <w:ind w:firstLine="720"/>
        <w:jc w:val="both"/>
      </w:pPr>
      <w:r>
        <w:rPr>
          <w:rFonts w:ascii="Times New Roman" w:cs="Times New Roman" w:eastAsia="Times New Roman" w:hAnsi="Times New Roman"/>
          <w:sz w:val="28"/>
          <w:szCs w:val="28"/>
        </w:rPr>
        <w:t xml:space="preserve">Существующие системы автоматической оценки качества — такие как TransQuest, COMET-QE и CometKiwi — демонстрируют высокую корреляцию с оценками специалистов, однако, как правило, представляют собой модели-«чёрные ящики»: они выдают числовую оценку без объяснения того, что именно в переводе является ошибочным. Такой подход неудобен для постредактора, которому необходимо понимать не только то, насколько плох перевод, но и где именно ошибка и к какому типу она относится.</w:t>
      </w:r>
    </w:p>
    <w:p>
      <w:pPr>
        <w:spacing w:after="120" w:before="0" w:line="360"/>
        <w:ind w:firstLine="720"/>
        <w:jc w:val="both"/>
      </w:pPr>
      <w:r>
        <w:rPr>
          <w:rFonts w:ascii="Times New Roman" w:cs="Times New Roman" w:eastAsia="Times New Roman" w:hAnsi="Times New Roman"/>
          <w:sz w:val="28"/>
          <w:szCs w:val="28"/>
        </w:rPr>
        <w:t xml:space="preserve">Настоящая работа посвящена описанию логической структуры системы IMTQE (Interpretable Machine Translation Quality Estimation) — интерпретируемой системы оценки качества машинного перевода с английского языка на русский без привлечения эталонного текста. Система реализует гибридный подход: вычисляемые вручную лингвистические признаки сочетаются с моделями машинного обучения и нейронными сетями, что позволяет получить объяснимый результат на нескольких уровнях.</w:t>
      </w:r>
    </w:p>
    <w:p>
      <w:pPr>
        <w:spacing w:after="120" w:before="0" w:line="360"/>
        <w:ind w:firstLine="720"/>
        <w:jc w:val="both"/>
      </w:pPr>
      <w:r>
        <w:rPr>
          <w:rFonts w:ascii="Times New Roman" w:cs="Times New Roman" w:eastAsia="Times New Roman" w:hAnsi="Times New Roman"/>
          <w:sz w:val="28"/>
          <w:szCs w:val="28"/>
        </w:rPr>
        <w:t xml:space="preserve">На входе система получает пару текстовых строк в кодировке UTF-8: исходное предложение на английском языке и его машинный перевод на русский язык. На выходе формируются три уровня результата: числовая оценка качества перевода в диапазоне от нуля до единицы с доверительным интервалом; перечень ошибочных словесных фрагментов с указанием типа ошибки по международной таксономии MQM; распределение вклада лингвистических категорий в итоговую оценку через механизм SHAP.</w:t>
      </w:r>
    </w:p>
    <w:p>
      <w:pPr>
        <w:spacing w:after="120" w:before="0" w:line="360"/>
        <w:ind w:firstLine="720"/>
        <w:jc w:val="both"/>
      </w:pPr>
      <w:r>
        <w:rPr>
          <w:rFonts w:ascii="Times New Roman" w:cs="Times New Roman" w:eastAsia="Times New Roman" w:hAnsi="Times New Roman"/>
          <w:sz w:val="28"/>
          <w:szCs w:val="28"/>
        </w:rPr>
        <w:t xml:space="preserve">Цель настоящего отчёта о производственной практике — описать логическую структуру реализованной системы в соответствии с требованиями ГОСТ 19.402-78, охватив пайплайн подготовки данных, признаковое пространство, используемые модели, механизм интерпретации результатов и программный сервис.</w:t>
      </w:r>
    </w:p>
    <w:p>
      <w:pPr>
        <w:spacing w:after="120" w:before="120"/>
        <w:jc w:val="center"/>
      </w:pPr>
      <w:r>
        <w:rPr>
          <w:rFonts w:ascii="Times New Roman" w:cs="Times New Roman" w:eastAsia="Times New Roman" w:hAnsi="Times New Roman"/>
          <w:b w:val="false"/>
          <w:bCs w:val="false"/>
          <w:i/>
          <w:iCs/>
          <w:sz w:val="28"/>
          <w:szCs w:val="28"/>
        </w:rPr>
        <w:t xml:space="preserve">Таблица 1 — Сравнение систем оценки качества перевода без эталона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26"/>
      </w:tblGrid>
      <w:tr>
        <w:trPr>
          <w:tblHeader/>
        </w:trPr>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Система</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Подход</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Уровень объяснения</w:t>
            </w:r>
          </w:p>
        </w:tc>
        <w:tc>
          <w:tcPr>
            <w:tcW w:type="dxa" w:w="15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Языковая пара</w:t>
            </w:r>
          </w:p>
        </w:tc>
      </w:tr>
      <w:tr>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TransQuest</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XLM-RoBERTa, регрессия</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Нет</w:t>
            </w:r>
          </w:p>
        </w:tc>
        <w:tc>
          <w:tcPr>
            <w:tcW w:type="dxa" w:w="15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Многоязычная</w:t>
            </w:r>
          </w:p>
        </w:tc>
      </w:tr>
      <w:tr>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COMET-QE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XLM-RoBERTa, многозадачная</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Нет</w:t>
            </w:r>
          </w:p>
        </w:tc>
        <w:tc>
          <w:tcPr>
            <w:tcW w:type="dxa" w:w="15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Многоязычная</w:t>
            </w:r>
          </w:p>
        </w:tc>
      </w:tr>
      <w:tr>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CometKiwi</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XLM-RoBERTa, слово+предложение</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Слово</w:t>
            </w:r>
          </w:p>
        </w:tc>
        <w:tc>
          <w:tcPr>
            <w:tcW w:type="dxa" w:w="15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Многоязычная</w:t>
            </w:r>
          </w:p>
        </w:tc>
      </w:tr>
      <w:tr>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IMTQE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Признаки + ансамбль + XLM-RoBERTa</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Признаки, категории, фрагменты</w:t>
            </w:r>
          </w:p>
        </w:tc>
        <w:tc>
          <w:tcPr>
            <w:tcW w:type="dxa" w:w="15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EN-RU</w:t>
            </w:r>
          </w:p>
        </w:tc>
      </w:tr>
    </w:tbl>
    <w:p>
      <w:r>
        <w:t xml:space="preserve"/>
      </w:r>
    </w:p>
    <w:p>
      <w:r>
        <w:br w:type="page"/>
      </w:r>
    </w:p>
    <w:p>
      <w:pPr>
        <w:pStyle w:val="Heading1"/>
        <w:spacing w:after="240" w:before="480"/>
        <w:jc w:val="center"/>
        <w:outlineLvl w:val="0"/>
      </w:pPr>
      <w:r>
        <w:rPr>
          <w:rFonts w:ascii="Times New Roman" w:cs="Times New Roman" w:eastAsia="Times New Roman" w:hAnsi="Times New Roman"/>
          <w:b/>
          <w:bCs/>
          <w:sz w:val="28"/>
          <w:szCs w:val="28"/>
        </w:rPr>
        <w:t xml:space="preserve">1. ДАННЫЕ</w:t>
      </w:r>
    </w:p>
    <w:p>
      <w:pPr>
        <w:pStyle w:val="Heading2"/>
        <w:spacing w:after="120" w:before="360"/>
        <w:jc w:val="left"/>
        <w:outlineLvl w:val="1"/>
      </w:pPr>
      <w:r>
        <w:rPr>
          <w:rFonts w:ascii="Times New Roman" w:cs="Times New Roman" w:eastAsia="Times New Roman" w:hAnsi="Times New Roman"/>
          <w:b/>
          <w:bCs/>
          <w:sz w:val="28"/>
          <w:szCs w:val="28"/>
        </w:rPr>
        <w:t xml:space="preserve">1.1. Наборы данных</w:t>
      </w:r>
    </w:p>
    <w:p>
      <w:pPr>
        <w:spacing w:after="120" w:before="0" w:line="360"/>
        <w:ind w:firstLine="720"/>
        <w:jc w:val="both"/>
      </w:pPr>
      <w:r>
        <w:rPr>
          <w:rFonts w:ascii="Times New Roman" w:cs="Times New Roman" w:eastAsia="Times New Roman" w:hAnsi="Times New Roman"/>
          <w:sz w:val="28"/>
          <w:szCs w:val="28"/>
        </w:rPr>
        <w:t xml:space="preserve">Для обучения модели оценки качества на уровне предложения используется набор данных прямой оценки (Direct Assessment) WMT, размещённый на платформе Hugging Face под именем RicardoRei/wmt-da-human-evaluation. Прямая оценка — стандартная методология ручной оценки качества перевода, в которой специалист выставляет числовой балл от 0 до 100, отражающий соответствие перевода исходному тексту. Для настоящей работы отобраны пары языка «английский — русский». Оценки нормализованы по минимуму и максимуму обучающего подмножества в диапазон от 0 до 1 с минимальным отступом, необходимым для совместимости с некоторыми вероятностными моделями. Данные разбиты на обучающую, проверочную и тестовую выборки в соотношении 85 : 10 : 5 с сохранением распределения оценок (стратифицированное разбиение по квантилям).</w:t>
      </w:r>
    </w:p>
    <w:p>
      <w:pPr>
        <w:spacing w:after="120" w:before="0" w:line="360"/>
        <w:ind w:firstLine="720"/>
        <w:jc w:val="both"/>
      </w:pPr>
      <w:r>
        <w:rPr>
          <w:rFonts w:ascii="Times New Roman" w:cs="Times New Roman" w:eastAsia="Times New Roman" w:hAnsi="Times New Roman"/>
          <w:sz w:val="28"/>
          <w:szCs w:val="28"/>
        </w:rPr>
        <w:t xml:space="preserve">Для обучения классификатора ошибочных фрагментов используется набор данных WMT21 с разметкой на уровне слов (word-level MQM). Исходные файлы представлены в текстовом формате: файл с расширением .src содержит исходные предложения, файл .mt — машинные переводы, файл .tags — пословные метки OK или BAD, файл .tsv — аннотации степени серьёзности ошибок на уровне предложения. Данные представлены для двух доменов: новостные тексты и материалы конференции TED. Метки на уровне слов принимают три значения: OK (слово переведено корректно), BAD-незначительная (minor) и BAD-значительная (major). Серьёзность «критическая» приравнивается к «значительной». Разбиение выполнено в соотношении 85 : 10 : 5 стратифицированно по максимальной серьёзности ошибки в предложении. При загрузке из файлов .mt автоматически удаляется служебный токен &lt;EOS&gt;, присутствующий в конце каждой строки.</w:t>
      </w:r>
    </w:p>
    <w:p>
      <w:pPr>
        <w:spacing w:after="120" w:before="0" w:line="360"/>
        <w:ind w:firstLine="720"/>
        <w:jc w:val="both"/>
      </w:pPr>
      <w:r>
        <w:rPr>
          <w:rFonts w:ascii="Times New Roman" w:cs="Times New Roman" w:eastAsia="Times New Roman" w:hAnsi="Times New Roman"/>
          <w:sz w:val="28"/>
          <w:szCs w:val="28"/>
        </w:rPr>
        <w:t xml:space="preserve">В качестве внешней тестовой выборки для проверки модели уровня предложения дополнительно используется набор данных MQM (RicardoRei/wmt-mqm-human-evaluation, языковая пара «английский — русский»). Пары предложений, совпадающие с обучающим подмножеством основного набора, исключаются во избежание переноса данных между обучением и тестированием.</w:t>
      </w:r>
    </w:p>
    <w:p>
      <w:pPr>
        <w:pStyle w:val="Heading2"/>
        <w:spacing w:after="120" w:before="360"/>
        <w:jc w:val="left"/>
        <w:outlineLvl w:val="1"/>
      </w:pPr>
      <w:r>
        <w:rPr>
          <w:rFonts w:ascii="Times New Roman" w:cs="Times New Roman" w:eastAsia="Times New Roman" w:hAnsi="Times New Roman"/>
          <w:b/>
          <w:bCs/>
          <w:sz w:val="28"/>
          <w:szCs w:val="28"/>
        </w:rPr>
        <w:t xml:space="preserve">1.2. Синтетическое расширение обучающего набора</w:t>
      </w:r>
    </w:p>
    <w:p>
      <w:pPr>
        <w:spacing w:after="120" w:before="0" w:line="360"/>
        <w:ind w:firstLine="720"/>
        <w:jc w:val="both"/>
      </w:pPr>
      <w:r>
        <w:rPr>
          <w:rFonts w:ascii="Times New Roman" w:cs="Times New Roman" w:eastAsia="Times New Roman" w:hAnsi="Times New Roman"/>
          <w:sz w:val="28"/>
          <w:szCs w:val="28"/>
        </w:rPr>
        <w:t xml:space="preserve">Для улучшения качества модели на примерах с низкими оценками обучающий набор дополняется синтетически сгенерированными парами. Каждая пара строится из реального предложения перевода путём одного из четырёх искажений, описанных ниже. Синтетическим примерам назначается заниженная оценка в заданном диапазоне.</w:t>
      </w:r>
    </w:p>
    <w:p>
      <w:pPr>
        <w:spacing w:after="120" w:before="0" w:line="360"/>
        <w:ind w:firstLine="720"/>
        <w:jc w:val="both"/>
      </w:pPr>
      <w:r>
        <w:rPr>
          <w:rFonts w:ascii="Times New Roman" w:cs="Times New Roman" w:eastAsia="Times New Roman" w:hAnsi="Times New Roman"/>
          <w:sz w:val="28"/>
          <w:szCs w:val="28"/>
        </w:rPr>
        <w:t xml:space="preserve">Перестановка слов: токены перевода переставляются в случайном порядке; если результат совпадает с исходным, порядок обращается. Оценка качества задаётся в диапазоне от 0,10 до 0,30.</w:t>
      </w:r>
    </w:p>
    <w:p>
      <w:pPr>
        <w:spacing w:after="120" w:before="0" w:line="360"/>
        <w:ind w:firstLine="720"/>
        <w:jc w:val="both"/>
      </w:pPr>
      <w:r>
        <w:rPr>
          <w:rFonts w:ascii="Times New Roman" w:cs="Times New Roman" w:eastAsia="Times New Roman" w:hAnsi="Times New Roman"/>
          <w:sz w:val="28"/>
          <w:szCs w:val="28"/>
        </w:rPr>
        <w:t xml:space="preserve">Частичный перевод: около 30% токенов перевода заменяются случайными токенами из исходного предложения, имитируя неполный перевод. Оценка — от 0,00 до 0,20.</w:t>
      </w:r>
    </w:p>
    <w:p>
      <w:pPr>
        <w:spacing w:after="120" w:before="0" w:line="360"/>
        <w:ind w:firstLine="720"/>
        <w:jc w:val="both"/>
      </w:pPr>
      <w:r>
        <w:rPr>
          <w:rFonts w:ascii="Times New Roman" w:cs="Times New Roman" w:eastAsia="Times New Roman" w:hAnsi="Times New Roman"/>
          <w:sz w:val="28"/>
          <w:szCs w:val="28"/>
        </w:rPr>
        <w:t xml:space="preserve">Удаление токенов: около 30% токенов перевода удаляется, имитируя пропуски. Оценка — от 0,10 до 0,40.</w:t>
      </w:r>
    </w:p>
    <w:p>
      <w:pPr>
        <w:spacing w:after="120" w:before="0" w:line="360"/>
        <w:ind w:firstLine="720"/>
        <w:jc w:val="both"/>
      </w:pPr>
      <w:r>
        <w:rPr>
          <w:rFonts w:ascii="Times New Roman" w:cs="Times New Roman" w:eastAsia="Times New Roman" w:hAnsi="Times New Roman"/>
          <w:sz w:val="28"/>
          <w:szCs w:val="28"/>
        </w:rPr>
        <w:t xml:space="preserve">Искажение именованных объектов: один случайный токен, являющийся именованной сущностью или числом, заменяется случайным элементом из фиксированного пула значений. Оценка — от 0,20 до 0,50.</w:t>
      </w:r>
    </w:p>
    <w:p>
      <w:pPr>
        <w:spacing w:after="120" w:before="0" w:line="360"/>
        <w:ind w:firstLine="720"/>
        <w:jc w:val="both"/>
      </w:pPr>
      <w:r>
        <w:rPr>
          <w:rFonts w:ascii="Times New Roman" w:cs="Times New Roman" w:eastAsia="Times New Roman" w:hAnsi="Times New Roman"/>
          <w:sz w:val="28"/>
          <w:szCs w:val="28"/>
        </w:rPr>
        <w:t xml:space="preserve">Синтетические примеры добавляются только в обучающее подмножество. При обучении моделей им назначается пониженный вес (0,12 от веса реального примера), чтобы искусственные данные не доминировали над реальными оценками. Перед обучением проводится случайный отбор синтетических примеров до 30% от их общего числа.</w:t>
      </w:r>
    </w:p>
    <w:p>
      <w:r>
        <w:br w:type="page"/>
      </w:r>
    </w:p>
    <w:p>
      <w:pPr>
        <w:pStyle w:val="Heading1"/>
        <w:spacing w:after="240" w:before="480"/>
        <w:jc w:val="center"/>
        <w:outlineLvl w:val="0"/>
      </w:pPr>
      <w:r>
        <w:rPr>
          <w:rFonts w:ascii="Times New Roman" w:cs="Times New Roman" w:eastAsia="Times New Roman" w:hAnsi="Times New Roman"/>
          <w:b/>
          <w:bCs/>
          <w:sz w:val="28"/>
          <w:szCs w:val="28"/>
        </w:rPr>
        <w:t xml:space="preserve">2. АРХИТЕКТУРА СИСТЕМЫ</w:t>
      </w:r>
    </w:p>
    <w:p>
      <w:pPr>
        <w:spacing w:after="120" w:before="0" w:line="360"/>
        <w:ind w:firstLine="720"/>
        <w:jc w:val="both"/>
      </w:pPr>
      <w:r>
        <w:rPr>
          <w:rFonts w:ascii="Times New Roman" w:cs="Times New Roman" w:eastAsia="Times New Roman" w:hAnsi="Times New Roman"/>
          <w:sz w:val="28"/>
          <w:szCs w:val="28"/>
        </w:rPr>
        <w:t xml:space="preserve">Система IMTQE состоит из двух основных компонентов: модуля оценки качества на уровне предложения и модуля классификации ошибочных фрагментов. Оба компонента работают последовательно в рамках единого вычислительного конвейера (пайплайна), реализованного в классе Predictor.</w:t>
      </w:r>
    </w:p>
    <w:p>
      <w:pPr>
        <w:spacing w:after="120" w:before="0" w:line="360"/>
        <w:ind w:firstLine="720"/>
        <w:jc w:val="both"/>
      </w:pPr>
      <w:r>
        <w:rPr>
          <w:rFonts w:ascii="Times New Roman" w:cs="Times New Roman" w:eastAsia="Times New Roman" w:hAnsi="Times New Roman"/>
          <w:sz w:val="28"/>
          <w:szCs w:val="28"/>
        </w:rPr>
        <w:t xml:space="preserve">При поступлении входной пары предложений конвейер выполняет следующие этапы. Сначала модуль извлечения признаков (FeatureExtractor) формирует числовой вектор из 43 признаков и пословные логарифмические вероятности токенов перевода. Затем три модели регрессии — градиентный бустинг, гребневая регрессия и случайный лес — независимо предсказывают оценку качества; их результаты объединяются в ансамблевую оценку. Параллельно нейронная модель классификации токенов на основе XLM-RoBERTa предсказывает для каждого слова перевода одну из трёх меток: корректно, незначительная ошибка, значительная ошибка. Смежные ошибочные слова объединяются в словесные фрагменты, которые понижают ансамблевую оценку на фиксированную величину. Далее детерминированные правила назначают каждому фрагменту тип ошибки по таксономии MQM, и вычисляется штрафной балл MQM. На последнем этапе формируется итоговый объект результата, включающий оценку, доверительный интервал, перечень ошибочных фрагментов с типами и SHAP-объяснение по категориям MQM.</w:t>
      </w:r>
    </w:p>
    <w:p>
      <w:pPr>
        <w:spacing w:after="120" w:before="0" w:line="360"/>
        <w:ind w:firstLine="720"/>
        <w:jc w:val="both"/>
      </w:pPr>
      <w:r>
        <w:rPr>
          <w:rFonts w:ascii="Times New Roman" w:cs="Times New Roman" w:eastAsia="Times New Roman" w:hAnsi="Times New Roman"/>
          <w:sz w:val="28"/>
          <w:szCs w:val="28"/>
        </w:rPr>
        <w:t xml:space="preserve">Программная структура системы организована в виде пакета src на языке Python. Модули извлечения признаков расположены в разделе src/features и включают отдельные файлы для каждой группы признаков (структурные, форматные, лингвистические, семантические, языковая гладкость, производные), а также сборщик FeatureExtractor и файл схемы признаков schema.py, являющийся единственным источником истины об именах и порядке признаков. Модели размещены в разделе src/models. Модули интерпретации результатов — в разделе src/interpretation. Серверная часть расположена в разделе src/app.</w:t>
      </w:r>
    </w:p>
    <w:p>
      <w:pPr>
        <w:spacing w:after="120" w:before="0" w:line="360"/>
        <w:ind w:firstLine="720"/>
        <w:jc w:val="both"/>
      </w:pPr>
      <w:r>
        <w:rPr>
          <w:rFonts w:ascii="Times New Roman" w:cs="Times New Roman" w:eastAsia="Times New Roman" w:hAnsi="Times New Roman"/>
          <w:sz w:val="28"/>
          <w:szCs w:val="28"/>
        </w:rPr>
        <w:t xml:space="preserve">Скрипты пайплайна обучения размещены в каталоге scripts и включают: prepare_data.py (загрузка и нормализация данных), build_wordlevel.py (сборка набора данных с разметкой уровня слова), dedup_mqm.py (исключение пересечений с обучающим набором), build_synthetic_negatives.py (генерация синтетических примеров), extract_features.py (извлечение признаков пакетами с возможностью продолжения после прерывания), train_sentence_model.py (обучение моделей уровня предложения), train_span_model.py (дообучение XLM-RoBERTa), tune_ensemble.py (двухуровневый подбор гиперпараметров), run_full_pipeline.py (последовательный запуск всего конвейера).</w:t>
      </w:r>
    </w:p>
    <w:p>
      <w:pPr>
        <w:spacing w:after="120" w:before="0" w:line="360"/>
        <w:ind w:firstLine="720"/>
        <w:jc w:val="both"/>
      </w:pPr>
      <w:r>
        <w:rPr>
          <w:rFonts w:ascii="Times New Roman" w:cs="Times New Roman" w:eastAsia="Times New Roman" w:hAnsi="Times New Roman"/>
          <w:sz w:val="28"/>
          <w:szCs w:val="28"/>
        </w:rPr>
        <w:t xml:space="preserve">[Рисунок 1. Блок-схема архитектуры системы — предоставит автор.]</w:t>
      </w:r>
    </w:p>
    <w:p>
      <w:r>
        <w:br w:type="page"/>
      </w:r>
    </w:p>
    <w:p>
      <w:pPr>
        <w:pStyle w:val="Heading1"/>
        <w:spacing w:after="240" w:before="480"/>
        <w:jc w:val="center"/>
        <w:outlineLvl w:val="0"/>
      </w:pPr>
      <w:r>
        <w:rPr>
          <w:rFonts w:ascii="Times New Roman" w:cs="Times New Roman" w:eastAsia="Times New Roman" w:hAnsi="Times New Roman"/>
          <w:b/>
          <w:bCs/>
          <w:sz w:val="28"/>
          <w:szCs w:val="28"/>
        </w:rPr>
        <w:t xml:space="preserve">3. ПРИЗНАКОВОЕ ПРОСТРАНСТВО</w:t>
      </w:r>
    </w:p>
    <w:p>
      <w:pPr>
        <w:spacing w:after="120" w:before="0" w:line="360"/>
        <w:ind w:firstLine="720"/>
        <w:jc w:val="both"/>
      </w:pPr>
      <w:r>
        <w:rPr>
          <w:rFonts w:ascii="Times New Roman" w:cs="Times New Roman" w:eastAsia="Times New Roman" w:hAnsi="Times New Roman"/>
          <w:sz w:val="28"/>
          <w:szCs w:val="28"/>
        </w:rPr>
        <w:t xml:space="preserve">Вектор признаков содержит 43 числовых значения и формируется в три слоя. Первый слой — лёгкие признаки (27 штук), вычисляемые без использования нейронных моделей посредством библиотеки морфологического анализа spaCy и морфологического анализатора pymorphy2/pymorphy3. Второй слой — тяжёлые признаки (6 штук), требующие нейронных моделей: семантические признаки на основе LaBSE и признаки языковой гладкости на основе ruGPT-3 Small. Третий слой — производные признаки (10 штук), вычисляемые аналитически как нелинейные комбинации первых двух слоёв.</w:t>
      </w:r>
    </w:p>
    <w:p>
      <w:pPr>
        <w:spacing w:after="120" w:before="0" w:line="360"/>
        <w:ind w:firstLine="720"/>
        <w:jc w:val="both"/>
      </w:pPr>
      <w:r>
        <w:rPr>
          <w:rFonts w:ascii="Times New Roman" w:cs="Times New Roman" w:eastAsia="Times New Roman" w:hAnsi="Times New Roman"/>
          <w:sz w:val="28"/>
          <w:szCs w:val="28"/>
        </w:rPr>
        <w:t xml:space="preserve">Схема имён и порядок следования признаков зафиксированы в файле schema.py и используются как при извлечении признаков, так и при обучении и применении моделей. Это исключает рассогласование между обучением и применением модели.</w:t>
      </w:r>
    </w:p>
    <w:p>
      <w:pPr>
        <w:spacing w:after="120" w:before="120"/>
        <w:jc w:val="center"/>
      </w:pPr>
      <w:r>
        <w:rPr>
          <w:rFonts w:ascii="Times New Roman" w:cs="Times New Roman" w:eastAsia="Times New Roman" w:hAnsi="Times New Roman"/>
          <w:b w:val="false"/>
          <w:bCs w:val="false"/>
          <w:i/>
          <w:iCs/>
          <w:sz w:val="28"/>
          <w:szCs w:val="28"/>
        </w:rPr>
        <w:t xml:space="preserve">Таблица 2 — Признаки системы: название, группа, категория MQM</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026"/>
      </w:tblGrid>
      <w:tr>
        <w:trPr>
          <w:tblHeader/>
        </w:trP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Название признака</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Группа</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Категория MQM</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length_ratio</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Структурные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abs_length_diff</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Структурные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token_count_diff</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Структурные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src_length</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Структурные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mt_length</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Структурные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compression_ratio</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Структурные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sentence_count_diff</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Структурные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digit_match_ratio</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Форматные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Локаль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punct_ratio</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Форматные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Локаль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quotes_mismatch</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Форматные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Локаль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date_format_error</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Форматные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Локаль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number_count_diff</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Форматные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Локаль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capitalization_mismatch</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Форматные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Стиль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currency_symbol_mismatch</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Форматные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Локаль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oov_ratio</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type_token_ratio</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avg_token_length</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entity_overlap_ratio</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Терминология</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agreement_errors</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syntax_depth</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formal_ratio</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Стиль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morphology_error_rate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repetition_ratio</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Стиль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named_entity_missing_ratio</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Терминология</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latin_ratio</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avg_word_rank</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untranslated_ratio</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Лингвистические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cosine_similarity</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Семантические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embedding_distance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Семантические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perplexity</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Языковая гладкость</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mean_log_prob</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Языковая гладкость</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token_ppl_variance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Языковая гладкость</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min_token_log_prob</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Языковая гладкость</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cosine_x_length_ok</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Производные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log_perplexity</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Производные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cosine_per_logppl</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Производные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entity_x_cosine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Производные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Терминология</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oov_x_bad_cosine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Производные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logprob_spike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Производные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variance_x_bad_cosine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Производные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normed_length_diff</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Производные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digit_x_entity</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Производные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Локаль</w:t>
            </w:r>
          </w:p>
        </w:tc>
      </w:tr>
      <w:tr>
        <w:tc>
          <w:tcPr>
            <w:tcW w:type="dxa" w:w="3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formal_x_cosine</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Производные</w:t>
            </w:r>
          </w:p>
        </w:tc>
        <w:tc>
          <w:tcPr>
            <w:tcW w:type="dxa" w:w="20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Стиль</w:t>
            </w:r>
          </w:p>
        </w:tc>
      </w:tr>
    </w:tbl>
    <w:p>
      <w:r>
        <w:t xml:space="preserve"/>
      </w:r>
    </w:p>
    <w:p>
      <w:pPr>
        <w:pStyle w:val="Heading2"/>
        <w:spacing w:after="120" w:before="360"/>
        <w:jc w:val="left"/>
        <w:outlineLvl w:val="1"/>
      </w:pPr>
      <w:r>
        <w:rPr>
          <w:rFonts w:ascii="Times New Roman" w:cs="Times New Roman" w:eastAsia="Times New Roman" w:hAnsi="Times New Roman"/>
          <w:b/>
          <w:bCs/>
          <w:sz w:val="28"/>
          <w:szCs w:val="28"/>
        </w:rPr>
        <w:t xml:space="preserve">3.1. Структурные и форматные признаки</w:t>
      </w:r>
    </w:p>
    <w:p>
      <w:pPr>
        <w:spacing w:after="120" w:before="0" w:line="360"/>
        <w:ind w:firstLine="720"/>
        <w:jc w:val="both"/>
      </w:pPr>
      <w:r>
        <w:rPr>
          <w:rFonts w:ascii="Times New Roman" w:cs="Times New Roman" w:eastAsia="Times New Roman" w:hAnsi="Times New Roman"/>
          <w:sz w:val="28"/>
          <w:szCs w:val="28"/>
        </w:rPr>
        <w:t xml:space="preserve">Структурные признаки (7 штук) характеризуют соотношение длин исходного текста и перевода. Признак length_ratio вычисляется как отношение числа токенов перевода к числу токенов исходного текста. Для языковой пары «английский — русский» ожидаемое значение составляет около 1,30, поскольку русский текст в среднем длиннее английского за счёт флексий и падежных окончаний. Признак compression_ratio вычисляется как отношение числа символов перевода к числу символов исходного текста. Признак sentence_count_diff отражает разницу в числе предложений. Признаки src_length и mt_length содержат абсолютные длины в токенах; abs_length_diff и token_count_diff — абсолютную и знаковую разность длин. Все признаки вычисляются по результатам токенизации библиотекой spaCy.</w:t>
      </w:r>
    </w:p>
    <w:p>
      <w:pPr>
        <w:spacing w:after="120" w:before="0" w:line="360"/>
        <w:ind w:firstLine="720"/>
        <w:jc w:val="both"/>
      </w:pPr>
      <w:r>
        <w:rPr>
          <w:rFonts w:ascii="Times New Roman" w:cs="Times New Roman" w:eastAsia="Times New Roman" w:hAnsi="Times New Roman"/>
          <w:sz w:val="28"/>
          <w:szCs w:val="28"/>
        </w:rPr>
        <w:t xml:space="preserve">Форматные признаки (7 штук) проверяют сохранность формальных элементов текста. Признак digit_match_ratio вычисляется как доля чисел исходного текста, сохранённых в переводе. Признак punct_ratio — отношение числа знаков препинания в переводе к их числу в исходном тексте. Признак quotes_mismatch фиксирует наличие прямых кавычек в переводе при их наличии в оригинале (в русском тексте следует использовать кавычки-«ёлочки»). Признак date_format_error отмечает даты исходного текста, перенесённые в перевод без преобразования формата. Признак number_count_diff отражает разницу в числе числовых токенов. Признаки capitalization_mismatch и currency_symbol_mismatch фиксируют несоответствия в написании заглавных букв и обозначениях валют.</w:t>
      </w:r>
    </w:p>
    <w:p>
      <w:pPr>
        <w:pStyle w:val="Heading2"/>
        <w:spacing w:after="120" w:before="360"/>
        <w:jc w:val="left"/>
        <w:outlineLvl w:val="1"/>
      </w:pPr>
      <w:r>
        <w:rPr>
          <w:rFonts w:ascii="Times New Roman" w:cs="Times New Roman" w:eastAsia="Times New Roman" w:hAnsi="Times New Roman"/>
          <w:b/>
          <w:bCs/>
          <w:sz w:val="28"/>
          <w:szCs w:val="28"/>
        </w:rPr>
        <w:t xml:space="preserve">3.2. Лингвистические признаки</w:t>
      </w:r>
    </w:p>
    <w:p>
      <w:pPr>
        <w:spacing w:after="120" w:before="0" w:line="360"/>
        <w:ind w:firstLine="720"/>
        <w:jc w:val="both"/>
      </w:pPr>
      <w:r>
        <w:rPr>
          <w:rFonts w:ascii="Times New Roman" w:cs="Times New Roman" w:eastAsia="Times New Roman" w:hAnsi="Times New Roman"/>
          <w:sz w:val="28"/>
          <w:szCs w:val="28"/>
        </w:rPr>
        <w:t xml:space="preserve">Лингвистические признаки (13 штук) вычисляются с применением библиотеки spaCy (модели ru_core_news_sm для русского и en_core_web_sm для английского языков) и морфологического анализатора pymorphy2 или pymorphy3 — Python-библиотек для морфологического анализа русского языка.</w:t>
      </w:r>
    </w:p>
    <w:p>
      <w:pPr>
        <w:spacing w:after="120" w:before="0" w:line="360"/>
        <w:ind w:firstLine="720"/>
        <w:jc w:val="both"/>
      </w:pPr>
      <w:r>
        <w:rPr>
          <w:rFonts w:ascii="Times New Roman" w:cs="Times New Roman" w:eastAsia="Times New Roman" w:hAnsi="Times New Roman"/>
          <w:sz w:val="28"/>
          <w:szCs w:val="28"/>
        </w:rPr>
        <w:t xml:space="preserve">Признак oov_ratio отражает долю слов перевода, не найденных в словаре spaCy (out-of-vocabulary). Признак type_token_ratio — отношение числа уникальных лемм к общему числу слов, характеризует лексическое разнообразие. Признак avg_token_length — средняя длина слова в символах. Признак entity_overlap_ratio вычисляется как доля именованных сущностей исходного текста, обнаруженных в переводе. Признак agreement_errors подсчитывает число синтаксически зависимых пар слов (определение-существительное, подлежащее-сказуемое), в которых нарушено согласование по числу, роду или падежу согласно морфологическим тегам spaCy. Признак syntax_depth отражает максимальную глубину синтаксического дерева разбора. Признак formal_ratio вычисляется через pymorphy2: доля слов перевода, относящихся к причастиям, деепричастиям или отглагольным существительным, что соответствует формальному регистру речи.</w:t>
      </w:r>
    </w:p>
    <w:p>
      <w:pPr>
        <w:spacing w:after="120" w:before="0" w:line="360"/>
        <w:ind w:firstLine="720"/>
        <w:jc w:val="both"/>
      </w:pPr>
      <w:r>
        <w:rPr>
          <w:rFonts w:ascii="Times New Roman" w:cs="Times New Roman" w:eastAsia="Times New Roman" w:hAnsi="Times New Roman"/>
          <w:sz w:val="28"/>
          <w:szCs w:val="28"/>
        </w:rPr>
        <w:t xml:space="preserve">Признак morphology_error_rate — доля слов перевода, для которых pymorphy2 не нашёл ни одного разбора с известной частью речи, что сигнализирует об опечатках или несуществующих формах. Признак repetition_ratio вычисляется как доля лемм, встречающихся в предложении более одного раза. Признак named_entity_missing_ratio — доля именованных сущностей исходного текста, отсутствующих в переводе. Признак latin_ratio — доля латинских символов в переводе, сигнализирующая о непереведённых фрагментах. Признак avg_word_rank вычисляется как средний отрицательный логарифм морфологической уверенности pymorphy2 по всем словам перевода: чем ниже уверенность, тем более редким или нетипичным является слово. Признак untranslated_ratio — доля слов перевода, содержащих только латинские символы при длине более трёх и не являющихся именами собственными.</w:t>
      </w:r>
    </w:p>
    <w:p>
      <w:pPr>
        <w:pStyle w:val="Heading2"/>
        <w:spacing w:after="120" w:before="360"/>
        <w:jc w:val="left"/>
        <w:outlineLvl w:val="1"/>
      </w:pPr>
      <w:r>
        <w:rPr>
          <w:rFonts w:ascii="Times New Roman" w:cs="Times New Roman" w:eastAsia="Times New Roman" w:hAnsi="Times New Roman"/>
          <w:b/>
          <w:bCs/>
          <w:sz w:val="28"/>
          <w:szCs w:val="28"/>
        </w:rPr>
        <w:t xml:space="preserve">3.3. Семантические признаки</w:t>
      </w:r>
    </w:p>
    <w:p>
      <w:pPr>
        <w:spacing w:after="120" w:before="0" w:line="360"/>
        <w:ind w:firstLine="720"/>
        <w:jc w:val="both"/>
      </w:pPr>
      <w:r>
        <w:rPr>
          <w:rFonts w:ascii="Times New Roman" w:cs="Times New Roman" w:eastAsia="Times New Roman" w:hAnsi="Times New Roman"/>
          <w:sz w:val="28"/>
          <w:szCs w:val="28"/>
        </w:rPr>
        <w:t xml:space="preserve">Семантические признаки (2 штуки) вычисляются с помощью модели LaBSE (Language-agnostic BERT Sentence Embeddings), разработанной в компании Google и опубликованной в 2020 году. LaBSE представляет собой многоязычный трансформер, обученный на 109 языках с использованием двуязычных параллельных текстов, который кодирует предложения любого языка в единое векторное пространство таким образом, что семантически близкие предложения на разных языках получают близкие векторные представления. Это свойство делает модель особенно подходящей для кросс-языковой оценки соответствия перевода оригиналу.</w:t>
      </w:r>
    </w:p>
    <w:p>
      <w:pPr>
        <w:spacing w:after="120" w:before="0" w:line="360"/>
        <w:ind w:firstLine="720"/>
        <w:jc w:val="both"/>
      </w:pPr>
      <w:r>
        <w:rPr>
          <w:rFonts w:ascii="Times New Roman" w:cs="Times New Roman" w:eastAsia="Times New Roman" w:hAnsi="Times New Roman"/>
          <w:sz w:val="28"/>
          <w:szCs w:val="28"/>
        </w:rPr>
        <w:t xml:space="preserve">Признак cosine_similarity вычисляется как косинус угла между векторными представлениями исходного предложения и перевода: чем ближе значение к единице, тем выше семантическое сходство. Признак embedding_distance — евклидово расстояние между теми же векторами, которое дополняет косинусное сходство, учитывая абсолютные нормы векторов.</w:t>
      </w:r>
    </w:p>
    <w:p>
      <w:pPr>
        <w:pStyle w:val="Heading2"/>
        <w:spacing w:after="120" w:before="360"/>
        <w:jc w:val="left"/>
        <w:outlineLvl w:val="1"/>
      </w:pPr>
      <w:r>
        <w:rPr>
          <w:rFonts w:ascii="Times New Roman" w:cs="Times New Roman" w:eastAsia="Times New Roman" w:hAnsi="Times New Roman"/>
          <w:b/>
          <w:bCs/>
          <w:sz w:val="28"/>
          <w:szCs w:val="28"/>
        </w:rPr>
        <w:t xml:space="preserve">3.4. Признаки языковой гладкости</w:t>
      </w:r>
    </w:p>
    <w:p>
      <w:pPr>
        <w:spacing w:after="120" w:before="0" w:line="360"/>
        <w:ind w:firstLine="720"/>
        <w:jc w:val="both"/>
      </w:pPr>
      <w:r>
        <w:rPr>
          <w:rFonts w:ascii="Times New Roman" w:cs="Times New Roman" w:eastAsia="Times New Roman" w:hAnsi="Times New Roman"/>
          <w:sz w:val="28"/>
          <w:szCs w:val="28"/>
        </w:rPr>
        <w:t xml:space="preserve">Признаки языковой гладкости (4 штуки) вычисляются с помощью языковой модели ruGPT-3 Small — компактной версии генеративной авторегрессионной модели GPT-3, адаптированной для русского языка компанией Сбербанк. Авторегрессионная языковая модель оценивает вероятность каждого следующего токена текста, зная все предыдущие. Это позволяет измерить, насколько текст перевода «типичен» для русского языка с точки зрения статистических закономерностей.</w:t>
      </w:r>
    </w:p>
    <w:p>
      <w:pPr>
        <w:spacing w:after="120" w:before="0" w:line="360"/>
        <w:ind w:firstLine="720"/>
        <w:jc w:val="both"/>
      </w:pPr>
      <w:r>
        <w:rPr>
          <w:rFonts w:ascii="Times New Roman" w:cs="Times New Roman" w:eastAsia="Times New Roman" w:hAnsi="Times New Roman"/>
          <w:sz w:val="28"/>
          <w:szCs w:val="28"/>
        </w:rPr>
        <w:t xml:space="preserve">Для каждого слова перевода вычисляется логарифмическая вероятность (log-probability) путём суммирования логарифмических вероятностей составляющих его субтокенов. Маппинг субтокенов BPE (Byte Pair Encoding) на слова выполняется через символьные смещения: для каждого субтокена определяется диапазон символов в исходной строке, и субтокен относится к тому слову, в чьи символьные границы он попадает. Первый субтокен не имеет предшествующего контекста, поэтому ему назначается нулевая логарифмическая вероятность. Полученный список пословных логарифмических вероятностей передаётся в модуль классификации ошибочных фрагментов.</w:t>
      </w:r>
    </w:p>
    <w:p>
      <w:pPr>
        <w:spacing w:after="120" w:before="0" w:line="360"/>
        <w:ind w:firstLine="720"/>
        <w:jc w:val="both"/>
      </w:pPr>
      <w:r>
        <w:rPr>
          <w:rFonts w:ascii="Times New Roman" w:cs="Times New Roman" w:eastAsia="Times New Roman" w:hAnsi="Times New Roman"/>
          <w:sz w:val="28"/>
          <w:szCs w:val="28"/>
        </w:rPr>
        <w:t xml:space="preserve">На уровне предложения вычисляются четыре признака. Признак perplexity — показатель недоумения языковой модели: экспонента от отрицательного среднего логарифмического значения вероятностей слов; высокое значение означает нетипичный текст. Признак mean_log_prob — среднее значение пословных логарифмических вероятностей. Признак token_ppl_variance — дисперсия пословных логарифмических вероятностей относительно среднего; высокая дисперсия при нормальном среднем значении указывает на локальные аномалии в тексте. Признак min_token_log_prob — минимальное значение пословных логарифмических вероятностей, выявляющее наиболее неожиданное слово.</w:t>
      </w:r>
    </w:p>
    <w:p>
      <w:pPr>
        <w:pStyle w:val="Heading2"/>
        <w:spacing w:after="120" w:before="360"/>
        <w:jc w:val="left"/>
        <w:outlineLvl w:val="1"/>
      </w:pPr>
      <w:r>
        <w:rPr>
          <w:rFonts w:ascii="Times New Roman" w:cs="Times New Roman" w:eastAsia="Times New Roman" w:hAnsi="Times New Roman"/>
          <w:b/>
          <w:bCs/>
          <w:sz w:val="28"/>
          <w:szCs w:val="28"/>
        </w:rPr>
        <w:t xml:space="preserve">3.5. Производные признаки</w:t>
      </w:r>
    </w:p>
    <w:p>
      <w:pPr>
        <w:spacing w:after="120" w:before="0" w:line="360"/>
        <w:ind w:firstLine="720"/>
        <w:jc w:val="both"/>
      </w:pPr>
      <w:r>
        <w:rPr>
          <w:rFonts w:ascii="Times New Roman" w:cs="Times New Roman" w:eastAsia="Times New Roman" w:hAnsi="Times New Roman"/>
          <w:sz w:val="28"/>
          <w:szCs w:val="28"/>
        </w:rPr>
        <w:t xml:space="preserve">Производные признаки (10 штук) вычисляются аналитически как нелинейные комбинации признаков первых двух слоёв. Они позволяют моделям уловить взаимодействия между группами, которые линейные модели не могут выразить напрямую. Например, признак cosine_x_length_ok объединяет семантическое сходство и отклонение длины, признак cosine_per_logppl сопоставляет семантику с языковой гладкостью, признак logprob_spike фиксирует разрыв между средней и минимальной пословными вероятностями как сигнал локальной аномалии. Реализация производных признаков едина для обучения (работа с таблицей данных pandas) и для применения модели (работа со словарём числовых значений), что исключает рассогласование между двумя режимами.</w:t>
      </w:r>
    </w:p>
    <w:p>
      <w:r>
        <w:br w:type="page"/>
      </w:r>
    </w:p>
    <w:p>
      <w:pPr>
        <w:pStyle w:val="Heading1"/>
        <w:spacing w:after="240" w:before="480"/>
        <w:jc w:val="center"/>
        <w:outlineLvl w:val="0"/>
      </w:pPr>
      <w:r>
        <w:rPr>
          <w:rFonts w:ascii="Times New Roman" w:cs="Times New Roman" w:eastAsia="Times New Roman" w:hAnsi="Times New Roman"/>
          <w:b/>
          <w:bCs/>
          <w:sz w:val="28"/>
          <w:szCs w:val="28"/>
        </w:rPr>
        <w:t xml:space="preserve">4. МОДЕЛИ ОЦЕНКИ КАЧЕСТВА НА УРОВНЕ ПРЕДЛОЖЕНИЯ</w:t>
      </w:r>
    </w:p>
    <w:p>
      <w:pPr>
        <w:spacing w:after="120" w:before="0" w:line="360"/>
        <w:ind w:firstLine="720"/>
        <w:jc w:val="both"/>
      </w:pPr>
      <w:r>
        <w:rPr>
          <w:rFonts w:ascii="Times New Roman" w:cs="Times New Roman" w:eastAsia="Times New Roman" w:hAnsi="Times New Roman"/>
          <w:sz w:val="28"/>
          <w:szCs w:val="28"/>
        </w:rPr>
        <w:t xml:space="preserve">Задача оценки качества на уровне предложения решается как задача регрессии: по вектору из 43 признаков предсказывается числовая оценка в диапазоне от 0 до 1. Обучаются три независимые модели, результаты которых объединяются в ансамбль.</w:t>
      </w:r>
    </w:p>
    <w:p>
      <w:pPr>
        <w:pStyle w:val="Heading2"/>
        <w:spacing w:after="120" w:before="360"/>
        <w:jc w:val="left"/>
        <w:outlineLvl w:val="1"/>
      </w:pPr>
      <w:r>
        <w:rPr>
          <w:rFonts w:ascii="Times New Roman" w:cs="Times New Roman" w:eastAsia="Times New Roman" w:hAnsi="Times New Roman"/>
          <w:b/>
          <w:bCs/>
          <w:sz w:val="28"/>
          <w:szCs w:val="28"/>
        </w:rPr>
        <w:t xml:space="preserve">4.1. Градиентный бустинг</w:t>
      </w:r>
    </w:p>
    <w:p>
      <w:pPr>
        <w:spacing w:after="120" w:before="0" w:line="360"/>
        <w:ind w:firstLine="720"/>
        <w:jc w:val="both"/>
      </w:pPr>
      <w:r>
        <w:rPr>
          <w:rFonts w:ascii="Times New Roman" w:cs="Times New Roman" w:eastAsia="Times New Roman" w:hAnsi="Times New Roman"/>
          <w:sz w:val="28"/>
          <w:szCs w:val="28"/>
        </w:rPr>
        <w:t xml:space="preserve">Градиентный бустинг на деревьях решений реализован посредством библиотеки XGBoost, разработанной Тяньци Чэнем и Карлосом Гестрином в Вашингтонском университете и опубликованной в 2016 году. Метод строит ансамбль деревьев решений последовательно: каждое новое дерево минимизирует ошибку предыдущего ансамбля. XGBoost отличается эффективной регуляризацией и поддерживает гистограммный метод построения деревьев, что обеспечивает высокую скорость обучения.</w:t>
      </w:r>
    </w:p>
    <w:p>
      <w:pPr>
        <w:spacing w:after="120" w:before="0" w:line="360"/>
        <w:ind w:firstLine="720"/>
        <w:jc w:val="both"/>
      </w:pPr>
      <w:r>
        <w:rPr>
          <w:rFonts w:ascii="Times New Roman" w:cs="Times New Roman" w:eastAsia="Times New Roman" w:hAnsi="Times New Roman"/>
          <w:sz w:val="28"/>
          <w:szCs w:val="28"/>
        </w:rPr>
        <w:t xml:space="preserve">Функция потерь — среднеквадратичная ошибка (reg:squarederror). Параметры модели: скорость обучения 0,03; максимальная глубина дерева 5; минимальное число объектов в листе 5; доля объектов в выборке на итерацию 0,8; доля признаков на итерацию 0,7; коэффициент L2-регуляризации 1,0; коэффициент L1-регуляризации 0,05; параметр гамма 0,05. Максимальное число итераций — 4000.</w:t>
      </w:r>
    </w:p>
    <w:p>
      <w:pPr>
        <w:spacing w:after="120" w:before="0" w:line="360"/>
        <w:ind w:firstLine="720"/>
        <w:jc w:val="both"/>
      </w:pPr>
      <w:r>
        <w:rPr>
          <w:rFonts w:ascii="Times New Roman" w:cs="Times New Roman" w:eastAsia="Times New Roman" w:hAnsi="Times New Roman"/>
          <w:sz w:val="28"/>
          <w:szCs w:val="28"/>
        </w:rPr>
        <w:t xml:space="preserve">Ранняя остановка реализована через пользовательский обратный вызов (callback): после каждой итерации вычисляется коэффициент линейной корреляции Пирсона между предсказаниями модели и истинными оценками на проверочной выборке. Если значение коэффициента не улучшается в течение 120 итераций, обучение прекращается. Выбор корреляции Пирсона в качестве критерия обусловлен тем, что стандартные метрики оценки перевода (в частности, метрики конкурса WMT) измеряют именно ранговое и линейное согласие с оценками специалистов, а не абсолютную точность.</w:t>
      </w:r>
    </w:p>
    <w:p>
      <w:pPr>
        <w:pStyle w:val="Heading2"/>
        <w:spacing w:after="120" w:before="360"/>
        <w:jc w:val="left"/>
        <w:outlineLvl w:val="1"/>
      </w:pPr>
      <w:r>
        <w:rPr>
          <w:rFonts w:ascii="Times New Roman" w:cs="Times New Roman" w:eastAsia="Times New Roman" w:hAnsi="Times New Roman"/>
          <w:b/>
          <w:bCs/>
          <w:sz w:val="28"/>
          <w:szCs w:val="28"/>
        </w:rPr>
        <w:t xml:space="preserve">4.2. Гребневая регрессия</w:t>
      </w:r>
    </w:p>
    <w:p>
      <w:pPr>
        <w:spacing w:after="120" w:before="0" w:line="360"/>
        <w:ind w:firstLine="720"/>
        <w:jc w:val="both"/>
      </w:pPr>
      <w:r>
        <w:rPr>
          <w:rFonts w:ascii="Times New Roman" w:cs="Times New Roman" w:eastAsia="Times New Roman" w:hAnsi="Times New Roman"/>
          <w:sz w:val="28"/>
          <w:szCs w:val="28"/>
        </w:rPr>
        <w:t xml:space="preserve">Гребневая регрессия (Ridge Regression) — линейная модель с L2-регуляризацией, предложенная Хёрлом и Кеннардом в 1970 году. Модель минимизирует сумму квадратов остатков с добавлением штрафа за норму вектора коэффициентов, что предотвращает переобучение при наличии мультиколлинеарных признаков. Параметр регуляризации задан равным 2,0. Линейная природа модели обеспечивает интерпретируемый базовый результат: вклад каждого признака вычисляется непосредственно как произведение коэффициента на значение признака, без необходимости использования метода SHAP.</w:t>
      </w:r>
    </w:p>
    <w:p>
      <w:pPr>
        <w:pStyle w:val="Heading2"/>
        <w:spacing w:after="120" w:before="360"/>
        <w:jc w:val="left"/>
        <w:outlineLvl w:val="1"/>
      </w:pPr>
      <w:r>
        <w:rPr>
          <w:rFonts w:ascii="Times New Roman" w:cs="Times New Roman" w:eastAsia="Times New Roman" w:hAnsi="Times New Roman"/>
          <w:b/>
          <w:bCs/>
          <w:sz w:val="28"/>
          <w:szCs w:val="28"/>
        </w:rPr>
        <w:t xml:space="preserve">4.3. Случайный лес</w:t>
      </w:r>
    </w:p>
    <w:p>
      <w:pPr>
        <w:spacing w:after="120" w:before="0" w:line="360"/>
        <w:ind w:firstLine="720"/>
        <w:jc w:val="both"/>
      </w:pPr>
      <w:r>
        <w:rPr>
          <w:rFonts w:ascii="Times New Roman" w:cs="Times New Roman" w:eastAsia="Times New Roman" w:hAnsi="Times New Roman"/>
          <w:sz w:val="28"/>
          <w:szCs w:val="28"/>
        </w:rPr>
        <w:t xml:space="preserve">Случайный лес (Random Forest) — метод ансамблевого машинного обучения, предложенный Лео Брейманом в 2001 году. Метод строит множество деревьев решений на случайных подвыборках объектов и признаков, а итоговое предсказание получается усреднением по всем деревьям. Усреднение снижает дисперсию и повышает устойчивость. В системе используется ансамбль из 400 деревьев с максимальной глубиной 14 и минимальным числом объектов в листе 2. Дополнительное преимущество случайного леса — возможность оценки неопределённости предсказания через стандартное отклонение предсказаний отдельных деревьев, которое используется для вычисления доверительного интервала.</w:t>
      </w:r>
    </w:p>
    <w:p>
      <w:pPr>
        <w:pStyle w:val="Heading2"/>
        <w:spacing w:after="120" w:before="360"/>
        <w:jc w:val="left"/>
        <w:outlineLvl w:val="1"/>
      </w:pPr>
      <w:r>
        <w:rPr>
          <w:rFonts w:ascii="Times New Roman" w:cs="Times New Roman" w:eastAsia="Times New Roman" w:hAnsi="Times New Roman"/>
          <w:b/>
          <w:bCs/>
          <w:sz w:val="28"/>
          <w:szCs w:val="28"/>
        </w:rPr>
        <w:t xml:space="preserve">4.4. Управление весами обучающих примеров</w:t>
      </w:r>
    </w:p>
    <w:p>
      <w:pPr>
        <w:spacing w:after="120" w:before="0" w:line="360"/>
        <w:ind w:firstLine="720"/>
        <w:jc w:val="both"/>
      </w:pPr>
      <w:r>
        <w:rPr>
          <w:rFonts w:ascii="Times New Roman" w:cs="Times New Roman" w:eastAsia="Times New Roman" w:hAnsi="Times New Roman"/>
          <w:sz w:val="28"/>
          <w:szCs w:val="28"/>
        </w:rPr>
        <w:t xml:space="preserve">При обучении всех трёх моделей обучающим примерам назначаются индивидуальные веса. Синтетические примеры (сгенерированные искажениями) получают вес 0,12 от единичного веса реального примера, что снижает их влияние на итоговую модель. Примеры с оценкой ниже 0,15 могут получать повышенный вес для улучшения качества модели на низкоскоровых примерах. До начала обучения синтетические примеры случайным образом отбираются до 30% от их общего числа, чтобы искусственные данные не доминировали над реальными.</w:t>
      </w:r>
    </w:p>
    <w:p>
      <w:pPr>
        <w:pStyle w:val="Heading2"/>
        <w:spacing w:after="120" w:before="360"/>
        <w:jc w:val="left"/>
        <w:outlineLvl w:val="1"/>
      </w:pPr>
      <w:r>
        <w:rPr>
          <w:rFonts w:ascii="Times New Roman" w:cs="Times New Roman" w:eastAsia="Times New Roman" w:hAnsi="Times New Roman"/>
          <w:b/>
          <w:bCs/>
          <w:sz w:val="28"/>
          <w:szCs w:val="28"/>
        </w:rPr>
        <w:t xml:space="preserve">4.5. Ансамблирование и доверительный интервал</w:t>
      </w:r>
    </w:p>
    <w:p>
      <w:pPr>
        <w:spacing w:after="120" w:before="0" w:line="360"/>
        <w:ind w:firstLine="720"/>
        <w:jc w:val="both"/>
      </w:pPr>
      <w:r>
        <w:rPr>
          <w:rFonts w:ascii="Times New Roman" w:cs="Times New Roman" w:eastAsia="Times New Roman" w:hAnsi="Times New Roman"/>
          <w:sz w:val="28"/>
          <w:szCs w:val="28"/>
        </w:rPr>
        <w:t xml:space="preserve">Предсказания трёх моделей объединяются взвешенным усреднением: градиентному бустингу назначается вес 0,45, случайному лесу — 0,35, гребневой регрессии — 0,20. При отсутствии одной из моделей оставшиеся веса нормируются на единицу. SHAP-вклады ансамбля вычисляются как взвешенная сумма вкладов компонент.</w:t>
      </w:r>
    </w:p>
    <w:p>
      <w:pPr>
        <w:spacing w:after="120" w:before="0" w:line="360"/>
        <w:ind w:firstLine="720"/>
        <w:jc w:val="both"/>
      </w:pPr>
      <w:r>
        <w:rPr>
          <w:rFonts w:ascii="Times New Roman" w:cs="Times New Roman" w:eastAsia="Times New Roman" w:hAnsi="Times New Roman"/>
          <w:sz w:val="28"/>
          <w:szCs w:val="28"/>
        </w:rPr>
        <w:t xml:space="preserve">После получения ансамблевой оценки она корректируется вниз в зависимости от результатов классификатора ошибочных фрагментов: значительный фрагмент (major) снижает оценку на 0,06, незначительный (minor) — на 0,03, каждый дополнительный фрагмент сверх первого — на 0,01. Максимальный суммарный штраф составляет 0,12.</w:t>
      </w:r>
    </w:p>
    <w:p>
      <w:pPr>
        <w:spacing w:after="120" w:before="0" w:line="360"/>
        <w:ind w:firstLine="720"/>
        <w:jc w:val="both"/>
      </w:pPr>
      <w:r>
        <w:rPr>
          <w:rFonts w:ascii="Times New Roman" w:cs="Times New Roman" w:eastAsia="Times New Roman" w:hAnsi="Times New Roman"/>
          <w:sz w:val="28"/>
          <w:szCs w:val="28"/>
        </w:rPr>
        <w:t xml:space="preserve">Доверительный интервал для предсказаний градиентного бустинга и гребневой регрессии вычисляется через бета-аппроксимацию [ФОРМУЛА 4.1]. Для случайного леса 95-процентный доверительный интервал определяется как среднее плюс-минус 1,96 стандартных отклонения предсказаний деревьев.</w:t>
      </w:r>
    </w:p>
    <w:p>
      <w:pPr>
        <w:pStyle w:val="Heading2"/>
        <w:spacing w:after="120" w:before="360"/>
        <w:jc w:val="left"/>
        <w:outlineLvl w:val="1"/>
      </w:pPr>
      <w:r>
        <w:rPr>
          <w:rFonts w:ascii="Times New Roman" w:cs="Times New Roman" w:eastAsia="Times New Roman" w:hAnsi="Times New Roman"/>
          <w:b/>
          <w:bCs/>
          <w:sz w:val="28"/>
          <w:szCs w:val="28"/>
        </w:rPr>
        <w:t xml:space="preserve">4.6. Объяснение предсказаний методом SHAP</w:t>
      </w:r>
    </w:p>
    <w:p>
      <w:pPr>
        <w:spacing w:after="120" w:before="0" w:line="360"/>
        <w:ind w:firstLine="720"/>
        <w:jc w:val="both"/>
      </w:pPr>
      <w:r>
        <w:rPr>
          <w:rFonts w:ascii="Times New Roman" w:cs="Times New Roman" w:eastAsia="Times New Roman" w:hAnsi="Times New Roman"/>
          <w:sz w:val="28"/>
          <w:szCs w:val="28"/>
        </w:rPr>
        <w:t xml:space="preserve">Для объяснения предсказаний применяется метод SHAP (SHapley Additive exPlanations), разработанный Скоттом Лундбергом и Су-Ин Ли в 2017 году. Метод основан на теории кооперативных игр Шепли: вклад каждого признака в предсказание вычисляется как средневзвешенное изменение предсказания при добавлении данного признака ко всем возможным подмножествам остальных признаков. Для деревьев решений (градиентный бустинг и случайный лес) применяется алгоритм TreeExplainer, работающий за полиномиальное время благодаря структуре дерева.</w:t>
      </w:r>
    </w:p>
    <w:p>
      <w:pPr>
        <w:spacing w:after="120" w:before="0" w:line="360"/>
        <w:ind w:firstLine="720"/>
        <w:jc w:val="both"/>
      </w:pPr>
      <w:r>
        <w:rPr>
          <w:rFonts w:ascii="Times New Roman" w:cs="Times New Roman" w:eastAsia="Times New Roman" w:hAnsi="Times New Roman"/>
          <w:sz w:val="28"/>
          <w:szCs w:val="28"/>
        </w:rPr>
        <w:t xml:space="preserve">SHAP-вклады по именам признаков агрегируются в пять категорий MQM: точность, беглость, терминология, локаль, стиль. Отрицательные суммарные вклады (снижающие оценку) нормируются до суммы 1 и масштабируются пропорционально «недостающему до единицы» значению оценки. Результат показывается пользователю как распределение вклада каждой категории ошибок в итоговый штраф. Доли менее 0,5% отбрасываются.</w:t>
      </w:r>
    </w:p>
    <w:p>
      <w:r>
        <w:br w:type="page"/>
      </w:r>
    </w:p>
    <w:p>
      <w:pPr>
        <w:pStyle w:val="Heading1"/>
        <w:spacing w:after="240" w:before="480"/>
        <w:jc w:val="center"/>
        <w:outlineLvl w:val="0"/>
      </w:pPr>
      <w:r>
        <w:rPr>
          <w:rFonts w:ascii="Times New Roman" w:cs="Times New Roman" w:eastAsia="Times New Roman" w:hAnsi="Times New Roman"/>
          <w:b/>
          <w:bCs/>
          <w:sz w:val="28"/>
          <w:szCs w:val="28"/>
        </w:rPr>
        <w:t xml:space="preserve">5. КЛАССИФИКАТОР ОШИБОЧНЫХ ФРАГМЕНТОВ</w:t>
      </w:r>
    </w:p>
    <w:p>
      <w:pPr>
        <w:pStyle w:val="Heading2"/>
        <w:spacing w:after="120" w:before="360"/>
        <w:jc w:val="left"/>
        <w:outlineLvl w:val="1"/>
      </w:pPr>
      <w:r>
        <w:rPr>
          <w:rFonts w:ascii="Times New Roman" w:cs="Times New Roman" w:eastAsia="Times New Roman" w:hAnsi="Times New Roman"/>
          <w:b/>
          <w:bCs/>
          <w:sz w:val="28"/>
          <w:szCs w:val="28"/>
        </w:rPr>
        <w:t xml:space="preserve">5.1. Базовая модель XLM-RoBERTa</w:t>
      </w:r>
    </w:p>
    <w:p>
      <w:pPr>
        <w:spacing w:after="120" w:before="0" w:line="360"/>
        <w:ind w:firstLine="720"/>
        <w:jc w:val="both"/>
      </w:pPr>
      <w:r>
        <w:rPr>
          <w:rFonts w:ascii="Times New Roman" w:cs="Times New Roman" w:eastAsia="Times New Roman" w:hAnsi="Times New Roman"/>
          <w:sz w:val="28"/>
          <w:szCs w:val="28"/>
        </w:rPr>
        <w:t xml:space="preserve">Классификация ошибочных фрагментов реализована на основе модели XLM-RoBERTa-base — многоязычной версии трансформера RoBERTa, разработанной исследователями компании Facebook AI и опубликованной в 2019 году. Трансформер — архитектура нейронной сети, в которой контекст каждого токена формируется через механизм внимания ко всем остальным токенам последовательности, что позволяет моделировать дальние зависимости в тексте. XLM-RoBERTa обучена на текстах 100 языков с использованием метода маскированного языкового моделирования: часть токенов в тексте скрывается, и модель обучается их восстанавливать. Это предобучение формирует универсальные многоязычные представления, на основе которых решаются прикладные задачи путём дообучения на целевых данных.</w:t>
      </w:r>
    </w:p>
    <w:p>
      <w:pPr>
        <w:spacing w:after="120" w:before="0" w:line="360"/>
        <w:ind w:firstLine="720"/>
        <w:jc w:val="both"/>
      </w:pPr>
      <w:r>
        <w:rPr>
          <w:rFonts w:ascii="Times New Roman" w:cs="Times New Roman" w:eastAsia="Times New Roman" w:hAnsi="Times New Roman"/>
          <w:sz w:val="28"/>
          <w:szCs w:val="28"/>
        </w:rPr>
        <w:t xml:space="preserve">В системе IMTQE поверх предобученной модели добавляется линейный слой классификации с тремя выходными классами: корректно, незначительная ошибка, значительная ошибка. Дообучение выполняется на данных WMT21 с разметкой уровня слова.</w:t>
      </w:r>
    </w:p>
    <w:p>
      <w:pPr>
        <w:pStyle w:val="Heading2"/>
        <w:spacing w:after="120" w:before="360"/>
        <w:jc w:val="left"/>
        <w:outlineLvl w:val="1"/>
      </w:pPr>
      <w:r>
        <w:rPr>
          <w:rFonts w:ascii="Times New Roman" w:cs="Times New Roman" w:eastAsia="Times New Roman" w:hAnsi="Times New Roman"/>
          <w:b/>
          <w:bCs/>
          <w:sz w:val="28"/>
          <w:szCs w:val="28"/>
        </w:rPr>
        <w:t xml:space="preserve">5.2. Формирование входной последовательности и соответствие субтокенов словам</w:t>
      </w:r>
    </w:p>
    <w:p>
      <w:pPr>
        <w:spacing w:after="120" w:before="0" w:line="360"/>
        <w:ind w:firstLine="720"/>
        <w:jc w:val="both"/>
      </w:pPr>
      <w:r>
        <w:rPr>
          <w:rFonts w:ascii="Times New Roman" w:cs="Times New Roman" w:eastAsia="Times New Roman" w:hAnsi="Times New Roman"/>
          <w:sz w:val="28"/>
          <w:szCs w:val="28"/>
        </w:rPr>
        <w:t xml:space="preserve">Входная последовательность для каждой пары формируется по схеме: [CLS] токены_исходного_текста [SEP] токены_перевода [SEP], где [CLS] — специальный классификационный токен, [SEP] — токен разделителя. Общая длина последовательности ограничена 512 токенами. Токеновый бюджет делится следующим образом: исходный текст получает одну треть доступного бюджета (169 токенов), текст перевода — две трети (340 токенов). Метки назначаются только токенам перевода; токены исходного текста и специальные токены получают метку игнорирования и не учитываются при вычислении функции потерь.</w:t>
      </w:r>
    </w:p>
    <w:p>
      <w:pPr>
        <w:spacing w:after="120" w:before="0" w:line="360"/>
        <w:ind w:firstLine="720"/>
        <w:jc w:val="both"/>
      </w:pPr>
      <w:r>
        <w:rPr>
          <w:rFonts w:ascii="Times New Roman" w:cs="Times New Roman" w:eastAsia="Times New Roman" w:hAnsi="Times New Roman"/>
          <w:sz w:val="28"/>
          <w:szCs w:val="28"/>
        </w:rPr>
        <w:t xml:space="preserve">Модель XLM-RoBERTa использует алгоритм BPE (Byte Pair Encoding) — сегментацию текста на субтокены. Одно слово может быть разбито на несколько субтокенов (например, «переводчик» может быть разбито на «переводч» и «ик»). Поскольку разметка WMT21 выполнена на уровне слов, необходимо сопоставить субтокены BPE со словами. Применяется стратегия первого субтокена: метка слова назначается первому субтокену этого слова; все последующие субтокены получают метку игнорирования.</w:t>
      </w:r>
    </w:p>
    <w:p>
      <w:pPr>
        <w:spacing w:after="120" w:before="0" w:line="360"/>
        <w:ind w:firstLine="720"/>
        <w:jc w:val="both"/>
      </w:pPr>
      <w:r>
        <w:rPr>
          <w:rFonts w:ascii="Times New Roman" w:cs="Times New Roman" w:eastAsia="Times New Roman" w:hAnsi="Times New Roman"/>
          <w:sz w:val="28"/>
          <w:szCs w:val="28"/>
        </w:rPr>
        <w:t xml:space="preserve">Маппинг субтокенов на слова выполняется через символьные смещения (character offsets). Для каждого субтокена токенизатор возвращает диапазон символов в исходной строке перевода [начало, конец). Одновременно для каждого слова восстанавливается его позиция в строке методом последовательного поиска: слова перебираются в порядке следования, и для каждого фиксируется диапазон символов. Субтокен относится к слову, если его символьный диапазон полностью входит в диапазон этого слова. Первый субтокен, попавший в диапазон слова, получает индекс этого слова; все последующие субтокены того же слова получают метку игнорирования. Это обеспечивает однозначное соответствие между выходным вектором модели и словами перевода в формате канонической токенизации spaCy.</w:t>
      </w:r>
    </w:p>
    <w:p>
      <w:pPr>
        <w:spacing w:after="120" w:before="0" w:line="360"/>
        <w:ind w:firstLine="720"/>
        <w:jc w:val="both"/>
      </w:pPr>
      <w:r>
        <w:rPr>
          <w:rFonts w:ascii="Times New Roman" w:cs="Times New Roman" w:eastAsia="Times New Roman" w:hAnsi="Times New Roman"/>
          <w:sz w:val="28"/>
          <w:szCs w:val="28"/>
        </w:rPr>
        <w:t xml:space="preserve">[Рисунок 2. Схема входной последовательности и маппинга субтокенов — предоставит автор.]</w:t>
      </w:r>
    </w:p>
    <w:p>
      <w:pPr>
        <w:pStyle w:val="Heading2"/>
        <w:spacing w:after="120" w:before="360"/>
        <w:jc w:val="left"/>
        <w:outlineLvl w:val="1"/>
      </w:pPr>
      <w:r>
        <w:rPr>
          <w:rFonts w:ascii="Times New Roman" w:cs="Times New Roman" w:eastAsia="Times New Roman" w:hAnsi="Times New Roman"/>
          <w:b/>
          <w:bCs/>
          <w:sz w:val="28"/>
          <w:szCs w:val="28"/>
        </w:rPr>
        <w:t xml:space="preserve">5.3. Обучение</w:t>
      </w:r>
    </w:p>
    <w:p>
      <w:pPr>
        <w:spacing w:after="120" w:before="0" w:line="360"/>
        <w:ind w:firstLine="720"/>
        <w:jc w:val="both"/>
      </w:pPr>
      <w:r>
        <w:rPr>
          <w:rFonts w:ascii="Times New Roman" w:cs="Times New Roman" w:eastAsia="Times New Roman" w:hAnsi="Times New Roman"/>
          <w:sz w:val="28"/>
          <w:szCs w:val="28"/>
        </w:rPr>
        <w:t xml:space="preserve">Функция потерь — взвешенная перекрёстная энтропия (CrossEntropyLoss) с весами классов: 1,0 для корректных слов, 2,0 для незначительных ошибок и 5,0 для значительных ошибок. Повышенные веса компенсируют дисбаланс классов: ошибочные слова составляют меньшинство в обучающем наборе.</w:t>
      </w:r>
    </w:p>
    <w:p>
      <w:pPr>
        <w:spacing w:after="120" w:before="0" w:line="360"/>
        <w:ind w:firstLine="720"/>
        <w:jc w:val="both"/>
      </w:pPr>
      <w:r>
        <w:rPr>
          <w:rFonts w:ascii="Times New Roman" w:cs="Times New Roman" w:eastAsia="Times New Roman" w:hAnsi="Times New Roman"/>
          <w:sz w:val="28"/>
          <w:szCs w:val="28"/>
        </w:rPr>
        <w:t xml:space="preserve">Оптимизация параметров выполняется методом AdamW — вариантом стохастического градиентного спуска с адаптивными скоростями обучения и исправленной L2-регуляризацией. Скорость обучения составляет 2×10^−5. Первые 10% шагов выполняется линейное увеличение скорости обучения от нуля до заданного значения (прогрев), что стабилизирует обучение на начальном этапе. По умолчанию обучение выполняется 5 эпох с размером пакета 16.</w:t>
      </w:r>
    </w:p>
    <w:p>
      <w:pPr>
        <w:spacing w:after="120" w:before="0" w:line="360"/>
        <w:ind w:firstLine="720"/>
        <w:jc w:val="both"/>
      </w:pPr>
      <w:r>
        <w:rPr>
          <w:rFonts w:ascii="Times New Roman" w:cs="Times New Roman" w:eastAsia="Times New Roman" w:hAnsi="Times New Roman"/>
          <w:sz w:val="28"/>
          <w:szCs w:val="28"/>
        </w:rPr>
        <w:t xml:space="preserve">Применяется ранняя остановка по метрике F1 для класса «значительная ошибка» на проверочной выборке: если значение F1 не улучшается в течение 3 эпох, обучение прекращается. Лучшая версия модели по этому критерию сохраняется на диск. Обучение рекомендуется выполнять на графическом ускорителе; в целях воспроизводимости все случайные начальные значения зафиксированы через единый модуль determinism.py.</w:t>
      </w:r>
    </w:p>
    <w:p>
      <w:pPr>
        <w:pStyle w:val="Heading2"/>
        <w:spacing w:after="120" w:before="360"/>
        <w:jc w:val="left"/>
        <w:outlineLvl w:val="1"/>
      </w:pPr>
      <w:r>
        <w:rPr>
          <w:rFonts w:ascii="Times New Roman" w:cs="Times New Roman" w:eastAsia="Times New Roman" w:hAnsi="Times New Roman"/>
          <w:b/>
          <w:bCs/>
          <w:sz w:val="28"/>
          <w:szCs w:val="28"/>
        </w:rPr>
        <w:t xml:space="preserve">5.4. Применение: пороги, группировка фрагментов, штраф на оценку</w:t>
      </w:r>
    </w:p>
    <w:p>
      <w:pPr>
        <w:spacing w:after="120" w:before="0" w:line="360"/>
        <w:ind w:firstLine="720"/>
        <w:jc w:val="both"/>
      </w:pPr>
      <w:r>
        <w:rPr>
          <w:rFonts w:ascii="Times New Roman" w:cs="Times New Roman" w:eastAsia="Times New Roman" w:hAnsi="Times New Roman"/>
          <w:sz w:val="28"/>
          <w:szCs w:val="28"/>
        </w:rPr>
        <w:t xml:space="preserve">При применении обученной модели для каждого слова перевода вычисляется суммарная вероятность ошибки как сумма вероятностей классов «незначительная ошибка» и «значительная ошибка». Слово признаётся ошибочным, если эта суммарная вероятность превышает порог, по умолчанию равный 0,45. Из ошибочных слов класс «значительная ошибка» присваивается, если вероятность именно этого класса превышает второй порог, по умолчанию равный 0,60. Пороги настраиваются через переменные среды IMTQE_SPAN_BAD_THRESHOLD и IMTQE_SPAN_MAJOR_THRESHOLD соответственно.</w:t>
      </w:r>
    </w:p>
    <w:p>
      <w:pPr>
        <w:spacing w:after="120" w:before="0" w:line="360"/>
        <w:ind w:firstLine="720"/>
        <w:jc w:val="both"/>
      </w:pPr>
      <w:r>
        <w:rPr>
          <w:rFonts w:ascii="Times New Roman" w:cs="Times New Roman" w:eastAsia="Times New Roman" w:hAnsi="Times New Roman"/>
          <w:sz w:val="28"/>
          <w:szCs w:val="28"/>
        </w:rPr>
        <w:t xml:space="preserve">Смежные ошибочные слова объединяются в словесные фрагменты. Серьёзность фрагмента определяется по максимальной серьёзности среди входящих в него слов: если хотя бы одно слово классифицировано как «значительная ошибка», весь фрагмент получает эту метку. Уверенность фрагмента определяется суммарной вероятностью ошибки первого слова фрагмента. Пословные логарифмические вероятности ruGPT-3, соответствующие словам фрагмента, также сохраняются и используются далее модулем назначения типов ошибок.</w:t>
      </w:r>
    </w:p>
    <w:p>
      <w:r>
        <w:br w:type="page"/>
      </w:r>
    </w:p>
    <w:p>
      <w:pPr>
        <w:pStyle w:val="Heading1"/>
        <w:spacing w:after="240" w:before="480"/>
        <w:jc w:val="center"/>
        <w:outlineLvl w:val="0"/>
      </w:pPr>
      <w:r>
        <w:rPr>
          <w:rFonts w:ascii="Times New Roman" w:cs="Times New Roman" w:eastAsia="Times New Roman" w:hAnsi="Times New Roman"/>
          <w:b/>
          <w:bCs/>
          <w:sz w:val="28"/>
          <w:szCs w:val="28"/>
        </w:rPr>
        <w:t xml:space="preserve">6. ИНТЕРПРЕТАЦИЯ РЕЗУЛЬТАТОВ И ВЕБ-СЕРВИС</w:t>
      </w:r>
    </w:p>
    <w:p>
      <w:pPr>
        <w:pStyle w:val="Heading2"/>
        <w:spacing w:after="120" w:before="360"/>
        <w:jc w:val="left"/>
        <w:outlineLvl w:val="1"/>
      </w:pPr>
      <w:r>
        <w:rPr>
          <w:rFonts w:ascii="Times New Roman" w:cs="Times New Roman" w:eastAsia="Times New Roman" w:hAnsi="Times New Roman"/>
          <w:b/>
          <w:bCs/>
          <w:sz w:val="28"/>
          <w:szCs w:val="28"/>
        </w:rPr>
        <w:t xml:space="preserve">6.1. Таксономия ошибок MQM</w:t>
      </w:r>
    </w:p>
    <w:p>
      <w:pPr>
        <w:spacing w:after="120" w:before="0" w:line="360"/>
        <w:ind w:firstLine="720"/>
        <w:jc w:val="both"/>
      </w:pPr>
      <w:r>
        <w:rPr>
          <w:rFonts w:ascii="Times New Roman" w:cs="Times New Roman" w:eastAsia="Times New Roman" w:hAnsi="Times New Roman"/>
          <w:sz w:val="28"/>
          <w:szCs w:val="28"/>
        </w:rPr>
        <w:t xml:space="preserve">Таксономия MQM (Multidimensional Quality Metrics) — международный стандарт классификации ошибок машинного перевода, разработанный в рамках проекта QTLaunchPad и используемый в оценочных кампаниях WMT. В системе IMTQE применяется подмножество из 17 типов ошибок, организованных в 5 основных категорий.</w:t>
      </w:r>
    </w:p>
    <w:p>
      <w:pPr>
        <w:spacing w:after="120" w:before="120"/>
        <w:jc w:val="center"/>
      </w:pPr>
      <w:r>
        <w:rPr>
          <w:rFonts w:ascii="Times New Roman" w:cs="Times New Roman" w:eastAsia="Times New Roman" w:hAnsi="Times New Roman"/>
          <w:b w:val="false"/>
          <w:bCs w:val="false"/>
          <w:i/>
          <w:iCs/>
          <w:sz w:val="28"/>
          <w:szCs w:val="28"/>
        </w:rPr>
        <w:t xml:space="preserve">Таблица 3 — Таксономия ошибок MQM, применяемая в системе</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826"/>
      </w:tblGrid>
      <w:tr>
        <w:trPr>
          <w:tblHeader/>
        </w:trP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Категория</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Тип ошибки</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bCs/>
                <w:sz w:val="22"/>
                <w:szCs w:val="22"/>
              </w:rPr>
              <w:t xml:space="preserve">Описание</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Неверный перевод</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Смысл исходного текста передан неверно</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Пропуск</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Часть смысла исходного текста отсутствует в переводе</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Добавление</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В переводе присутствует информация, отсутствующая в оригинале</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Непереведённый фрагмент</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Фрагмент оставлен на исходном языке</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Точность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Галлюцинация</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В перевод добавлен вымышленный смысл</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Морфология</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Ошибки словоизменения и словообразования</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Согласование</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Нарушение грамматического согласования</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Орфография</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Опечатки и неверное написание</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Выбор слова</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Неудачный выбор лексемы</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Беглость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Повтор</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Тавтология и излишние повторы</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Терминология</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Неверный термин</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Использован неправильный отраслевой термин</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Терминология</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Непоследовательность</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Один и тот же термин передаётся по-разному</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Локаль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Формат чисел</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Несоответствие формата записи чисел</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Локаль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Формат дат</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Несоответствие формата записи дат</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Локаль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Кавычки</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Использованы кавычки неверного вида</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Локаль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Валюта</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Несоответствие обозначений валют</w:t>
            </w:r>
          </w:p>
        </w:tc>
      </w:tr>
      <w:tr>
        <w:tc>
          <w:tcPr>
            <w:tcW w:type="dxa" w:w="17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Стиль</w:t>
            </w:r>
          </w:p>
        </w:tc>
        <w:tc>
          <w:tcPr>
            <w:tcW w:type="dxa" w:w="25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Регистр речи</w:t>
            </w:r>
          </w:p>
        </w:tc>
        <w:tc>
          <w:tcPr>
            <w:tcW w:type="dxa" w:w="3826"/>
            <w:tcBorders>
              <w:top w:val="single" w:color="000000" w:sz="4"/>
              <w:left w:val="single" w:color="000000" w:sz="4"/>
              <w:bottom w:val="single" w:color="000000" w:sz="4"/>
              <w:right w:val="single" w:color="000000" w:sz="4"/>
            </w:tcBorders>
            <w:tcMar>
              <w:top w:type="dxa" w:w="60"/>
              <w:left w:type="dxa" w:w="120"/>
              <w:bottom w:type="dxa" w:w="60"/>
              <w:right w:type="dxa" w:w="120"/>
            </w:tcMar>
          </w:tcPr>
          <w:p>
            <w:pPr>
              <w:jc w:val="center"/>
            </w:pPr>
            <w:r>
              <w:rPr>
                <w:rFonts w:ascii="Times New Roman" w:cs="Times New Roman" w:eastAsia="Times New Roman" w:hAnsi="Times New Roman"/>
                <w:b w:val="false"/>
                <w:bCs w:val="false"/>
                <w:sz w:val="22"/>
                <w:szCs w:val="22"/>
              </w:rPr>
              <w:t xml:space="preserve">Неуместный стилистический регистр (формальный/разговорный)</w:t>
            </w:r>
          </w:p>
        </w:tc>
      </w:tr>
    </w:tbl>
    <w:p>
      <w:r>
        <w:t xml:space="preserve"/>
      </w:r>
    </w:p>
    <w:p>
      <w:pPr>
        <w:pStyle w:val="Heading2"/>
        <w:spacing w:after="120" w:before="360"/>
        <w:jc w:val="left"/>
        <w:outlineLvl w:val="1"/>
      </w:pPr>
      <w:r>
        <w:rPr>
          <w:rFonts w:ascii="Times New Roman" w:cs="Times New Roman" w:eastAsia="Times New Roman" w:hAnsi="Times New Roman"/>
          <w:b/>
          <w:bCs/>
          <w:sz w:val="28"/>
          <w:szCs w:val="28"/>
        </w:rPr>
        <w:t xml:space="preserve">6.2. Правила назначения типов ошибок</w:t>
      </w:r>
    </w:p>
    <w:p>
      <w:pPr>
        <w:spacing w:after="120" w:before="0" w:line="360"/>
        <w:ind w:firstLine="720"/>
        <w:jc w:val="both"/>
      </w:pPr>
      <w:r>
        <w:rPr>
          <w:rFonts w:ascii="Times New Roman" w:cs="Times New Roman" w:eastAsia="Times New Roman" w:hAnsi="Times New Roman"/>
          <w:sz w:val="28"/>
          <w:szCs w:val="28"/>
        </w:rPr>
        <w:t xml:space="preserve">Модель XLM-RoBERTa определяет только серьёзность ошибки (незначительная или значительная). Тип ошибки по таксономии MQM назначается детерминированными правилами на основе лингвистических признаков предложения и текстового содержимого фрагмента. Правила применяются в порядке убывания приоритета и перечислены ниже.</w:t>
      </w:r>
    </w:p>
    <w:p>
      <w:pPr>
        <w:spacing w:after="120" w:before="0" w:line="360"/>
        <w:ind w:firstLine="720"/>
        <w:jc w:val="both"/>
      </w:pPr>
      <w:r>
        <w:rPr>
          <w:rFonts w:ascii="Times New Roman" w:cs="Times New Roman" w:eastAsia="Times New Roman" w:hAnsi="Times New Roman"/>
          <w:sz w:val="28"/>
          <w:szCs w:val="28"/>
        </w:rPr>
        <w:t xml:space="preserve">1. Если признаки untranslated_ratio &gt; 0,22 или latin_ratio &gt; 0,30, назначается тип «Непереведённый фрагмент».</w:t>
      </w:r>
    </w:p>
    <w:p>
      <w:pPr>
        <w:spacing w:after="120" w:before="0" w:line="360"/>
        <w:ind w:firstLine="720"/>
        <w:jc w:val="both"/>
      </w:pPr>
      <w:r>
        <w:rPr>
          <w:rFonts w:ascii="Times New Roman" w:cs="Times New Roman" w:eastAsia="Times New Roman" w:hAnsi="Times New Roman"/>
          <w:sz w:val="28"/>
          <w:szCs w:val="28"/>
        </w:rPr>
        <w:t xml:space="preserve">2. Если фрагмент содержит символы валют ($ € £ ¥ ₽), назначается тип «Валюта».</w:t>
      </w:r>
    </w:p>
    <w:p>
      <w:pPr>
        <w:spacing w:after="120" w:before="0" w:line="360"/>
        <w:ind w:firstLine="720"/>
        <w:jc w:val="both"/>
      </w:pPr>
      <w:r>
        <w:rPr>
          <w:rFonts w:ascii="Times New Roman" w:cs="Times New Roman" w:eastAsia="Times New Roman" w:hAnsi="Times New Roman"/>
          <w:sz w:val="28"/>
          <w:szCs w:val="28"/>
        </w:rPr>
        <w:t xml:space="preserve">3. Если признак quotes_mismatch &gt; 0 и фрагмент содержит прямые кавычки, назначается тип «Кавычки».</w:t>
      </w:r>
    </w:p>
    <w:p>
      <w:pPr>
        <w:spacing w:after="120" w:before="0" w:line="360"/>
        <w:ind w:firstLine="720"/>
        <w:jc w:val="both"/>
      </w:pPr>
      <w:r>
        <w:rPr>
          <w:rFonts w:ascii="Times New Roman" w:cs="Times New Roman" w:eastAsia="Times New Roman" w:hAnsi="Times New Roman"/>
          <w:sz w:val="28"/>
          <w:szCs w:val="28"/>
        </w:rPr>
        <w:t xml:space="preserve">4. Если признак date_format_error &gt; 0 и фрагмент содержит дату, назначается тип «Формат дат».</w:t>
      </w:r>
    </w:p>
    <w:p>
      <w:pPr>
        <w:spacing w:after="120" w:before="0" w:line="360"/>
        <w:ind w:firstLine="720"/>
        <w:jc w:val="both"/>
      </w:pPr>
      <w:r>
        <w:rPr>
          <w:rFonts w:ascii="Times New Roman" w:cs="Times New Roman" w:eastAsia="Times New Roman" w:hAnsi="Times New Roman"/>
          <w:sz w:val="28"/>
          <w:szCs w:val="28"/>
        </w:rPr>
        <w:t xml:space="preserve">5. Если признак digit_match_ratio &lt; 0,75 и фрагмент содержит цифры, назначается тип «Формат чисел».</w:t>
      </w:r>
    </w:p>
    <w:p>
      <w:pPr>
        <w:spacing w:after="120" w:before="0" w:line="360"/>
        <w:ind w:firstLine="720"/>
        <w:jc w:val="both"/>
      </w:pPr>
      <w:r>
        <w:rPr>
          <w:rFonts w:ascii="Times New Roman" w:cs="Times New Roman" w:eastAsia="Times New Roman" w:hAnsi="Times New Roman"/>
          <w:sz w:val="28"/>
          <w:szCs w:val="28"/>
        </w:rPr>
        <w:t xml:space="preserve">6. Если признак morphology_error_rate &gt; 0,20 или в фрагменте обнаружено слово без известной части речи по pymorphy2, назначается тип «Морфология».</w:t>
      </w:r>
    </w:p>
    <w:p>
      <w:pPr>
        <w:spacing w:after="120" w:before="0" w:line="360"/>
        <w:ind w:firstLine="720"/>
        <w:jc w:val="both"/>
      </w:pPr>
      <w:r>
        <w:rPr>
          <w:rFonts w:ascii="Times New Roman" w:cs="Times New Roman" w:eastAsia="Times New Roman" w:hAnsi="Times New Roman"/>
          <w:sz w:val="28"/>
          <w:szCs w:val="28"/>
        </w:rPr>
        <w:t xml:space="preserve">7. Если признак oov_ratio &gt; 0,25 и в фрагменте обнаружены признаки опечатки (слово длиннее 20 символов или содержит четыре и более согласных подряд), назначается тип «Орфография».</w:t>
      </w:r>
    </w:p>
    <w:p>
      <w:pPr>
        <w:spacing w:after="120" w:before="0" w:line="360"/>
        <w:ind w:firstLine="720"/>
        <w:jc w:val="both"/>
      </w:pPr>
      <w:r>
        <w:rPr>
          <w:rFonts w:ascii="Times New Roman" w:cs="Times New Roman" w:eastAsia="Times New Roman" w:hAnsi="Times New Roman"/>
          <w:sz w:val="28"/>
          <w:szCs w:val="28"/>
        </w:rPr>
        <w:t xml:space="preserve">8. Если признак repetition_ratio &gt; 0,24, назначается тип «Повтор».</w:t>
      </w:r>
    </w:p>
    <w:p>
      <w:pPr>
        <w:spacing w:after="120" w:before="0" w:line="360"/>
        <w:ind w:firstLine="720"/>
        <w:jc w:val="both"/>
      </w:pPr>
      <w:r>
        <w:rPr>
          <w:rFonts w:ascii="Times New Roman" w:cs="Times New Roman" w:eastAsia="Times New Roman" w:hAnsi="Times New Roman"/>
          <w:sz w:val="28"/>
          <w:szCs w:val="28"/>
        </w:rPr>
        <w:t xml:space="preserve">9. Если признак agreement_errors &gt; 0 и среднее пословное значение логарифмической вероятности фрагмента находится в диапазоне от −6,0 до −3,5, назначается тип «Согласование».</w:t>
      </w:r>
    </w:p>
    <w:p>
      <w:pPr>
        <w:spacing w:after="120" w:before="0" w:line="360"/>
        <w:ind w:firstLine="720"/>
        <w:jc w:val="both"/>
      </w:pPr>
      <w:r>
        <w:rPr>
          <w:rFonts w:ascii="Times New Roman" w:cs="Times New Roman" w:eastAsia="Times New Roman" w:hAnsi="Times New Roman"/>
          <w:sz w:val="28"/>
          <w:szCs w:val="28"/>
        </w:rPr>
        <w:t xml:space="preserve">10. Если признак named_entity_missing_ratio &gt; 0,40 и длина фрагмента не превышает трёх слов, назначается тип «Пропуск».</w:t>
      </w:r>
    </w:p>
    <w:p>
      <w:pPr>
        <w:spacing w:after="120" w:before="0" w:line="360"/>
        <w:ind w:firstLine="720"/>
        <w:jc w:val="both"/>
      </w:pPr>
      <w:r>
        <w:rPr>
          <w:rFonts w:ascii="Times New Roman" w:cs="Times New Roman" w:eastAsia="Times New Roman" w:hAnsi="Times New Roman"/>
          <w:sz w:val="28"/>
          <w:szCs w:val="28"/>
        </w:rPr>
        <w:t xml:space="preserve">11. Если среднее пословное значение логарифмической вероятности фрагмента ниже −6,0, назначается тип «Выбор слова».</w:t>
      </w:r>
    </w:p>
    <w:p>
      <w:pPr>
        <w:spacing w:after="120" w:before="0" w:line="360"/>
        <w:ind w:firstLine="720"/>
        <w:jc w:val="both"/>
      </w:pPr>
      <w:r>
        <w:rPr>
          <w:rFonts w:ascii="Times New Roman" w:cs="Times New Roman" w:eastAsia="Times New Roman" w:hAnsi="Times New Roman"/>
          <w:sz w:val="28"/>
          <w:szCs w:val="28"/>
        </w:rPr>
        <w:t xml:space="preserve">12. В остальных случаях назначается тип «Неверный перевод» (по умолчанию).</w:t>
      </w:r>
    </w:p>
    <w:p>
      <w:pPr>
        <w:pStyle w:val="Heading2"/>
        <w:spacing w:after="120" w:before="360"/>
        <w:jc w:val="left"/>
        <w:outlineLvl w:val="1"/>
      </w:pPr>
      <w:r>
        <w:rPr>
          <w:rFonts w:ascii="Times New Roman" w:cs="Times New Roman" w:eastAsia="Times New Roman" w:hAnsi="Times New Roman"/>
          <w:b/>
          <w:bCs/>
          <w:sz w:val="28"/>
          <w:szCs w:val="28"/>
        </w:rPr>
        <w:t xml:space="preserve">6.3. Формула агрегации штрафного балла</w:t>
      </w:r>
    </w:p>
    <w:p>
      <w:pPr>
        <w:spacing w:after="120" w:before="0" w:line="360"/>
        <w:ind w:firstLine="720"/>
        <w:jc w:val="both"/>
      </w:pPr>
      <w:r>
        <w:rPr>
          <w:rFonts w:ascii="Times New Roman" w:cs="Times New Roman" w:eastAsia="Times New Roman" w:hAnsi="Times New Roman"/>
          <w:sz w:val="28"/>
          <w:szCs w:val="28"/>
        </w:rPr>
        <w:t xml:space="preserve">На основе найденных ошибочных фрагментов вычисляется штрафной балл MQM по формуле [ФОРМУЛА 6.1]. В формуле w_t — вес типа ошибки (по умолчанию 1,0 для всех типов; при наличии файла weights_mqm.npy загружаются обученные веса), p_s — штраф за серьёзность (5,0 для значительной ошибки, 1,0 для незначительной), c_i — уверенность фрагмента, Z — число слов перевода. Итоговый балл MQM вычисляется по формуле [ФОРМУЛА 6.2] и ограничивается диапазоном от 0 до 1.</w:t>
      </w:r>
    </w:p>
    <w:p>
      <w:pPr>
        <w:pStyle w:val="Heading2"/>
        <w:spacing w:after="120" w:before="360"/>
        <w:jc w:val="left"/>
        <w:outlineLvl w:val="1"/>
      </w:pPr>
      <w:r>
        <w:rPr>
          <w:rFonts w:ascii="Times New Roman" w:cs="Times New Roman" w:eastAsia="Times New Roman" w:hAnsi="Times New Roman"/>
          <w:b/>
          <w:bCs/>
          <w:sz w:val="28"/>
          <w:szCs w:val="28"/>
        </w:rPr>
        <w:t xml:space="preserve">6.4. Веб-сервис и пользовательский интерфейс</w:t>
      </w:r>
    </w:p>
    <w:p>
      <w:pPr>
        <w:spacing w:after="120" w:before="0" w:line="360"/>
        <w:ind w:firstLine="720"/>
        <w:jc w:val="both"/>
      </w:pPr>
      <w:r>
        <w:rPr>
          <w:rFonts w:ascii="Times New Roman" w:cs="Times New Roman" w:eastAsia="Times New Roman" w:hAnsi="Times New Roman"/>
          <w:sz w:val="28"/>
          <w:szCs w:val="28"/>
        </w:rPr>
        <w:t xml:space="preserve">Серверная часть системы реализована на основе фреймворка FastAPI — современного Python-фреймворка для построения веб-интерфейсов программирования приложений (API), обеспечивающего автоматическую валидацию данных и асинхронную обработку запросов. Веб-сервер запускается через ASGI-сервер uvicorn командой «uvicorn src.app.server:app --host 0.0.0.0 --port 8000». Система поддерживается на операционных системах Linux (Ubuntu 20.04 и новее, рекомендуется для серверного развёртывания) и Windows при наличии Python 3.10 и выше.</w:t>
      </w:r>
    </w:p>
    <w:p>
      <w:pPr>
        <w:spacing w:after="120" w:before="0" w:line="360"/>
        <w:ind w:firstLine="720"/>
        <w:jc w:val="both"/>
      </w:pPr>
      <w:r>
        <w:rPr>
          <w:rFonts w:ascii="Times New Roman" w:cs="Times New Roman" w:eastAsia="Times New Roman" w:hAnsi="Times New Roman"/>
          <w:sz w:val="28"/>
          <w:szCs w:val="28"/>
        </w:rPr>
        <w:t xml:space="preserve">При запуске все модели загружаются однократно через механизм lifespan FastAPI: создаётся экземпляр класса Predictor, который последовательно инициализирует все компоненты — модуль извлечения признаков (включая LaBSE и ruGPT-3 Small), три модели уровня предложения, классификатор ошибочных фрагментов на базе XLM-RoBERTa. Состояние загрузки хранится в синглтоне ModelsState, доступном для всех запросов через app.state. Повторная загрузка модели при каждом запросе не происходит.</w:t>
      </w:r>
    </w:p>
    <w:p>
      <w:pPr>
        <w:spacing w:after="120" w:before="0" w:line="360"/>
        <w:ind w:firstLine="720"/>
        <w:jc w:val="both"/>
      </w:pPr>
      <w:r>
        <w:rPr>
          <w:rFonts w:ascii="Times New Roman" w:cs="Times New Roman" w:eastAsia="Times New Roman" w:hAnsi="Times New Roman"/>
          <w:sz w:val="28"/>
          <w:szCs w:val="28"/>
        </w:rPr>
        <w:t xml:space="preserve">Сервис предоставляет следующие маршруты. POST /api/evaluate — оценка одной пары предложений; возвращает полный объект результата. POST /api/evaluate_batch — оценка до 50 пар за запрос. GET /api/status — статус готовности системы. POST /api/reload_models — горячая перезагрузка лёгких моделей (уровня предложения и классификатора фрагментов) без перезагрузки LaBSE и ruGPT-3 Small, что позволяет обновить модели после дообучения, не перезапуская сервер.</w:t>
      </w:r>
    </w:p>
    <w:p>
      <w:pPr>
        <w:spacing w:after="120" w:before="0" w:line="360"/>
        <w:ind w:firstLine="720"/>
        <w:jc w:val="both"/>
      </w:pPr>
      <w:r>
        <w:rPr>
          <w:rFonts w:ascii="Times New Roman" w:cs="Times New Roman" w:eastAsia="Times New Roman" w:hAnsi="Times New Roman"/>
          <w:sz w:val="28"/>
          <w:szCs w:val="28"/>
        </w:rPr>
        <w:t xml:space="preserve">Пользовательский интерфейс реализован в виде веб-страницы и ориентирован на нетехнических специалистов — редакторов и постредакторов перевода. Интерфейс отображает таблицу переводческих сегментов с возможностью ввода пар предложений, подсвечивает ошибочные фрагменты непосредственно в тексте перевода (значительные ошибки — красным фоном, незначительные — жёлтым), отображает тип и серьёзность ошибки при наведении курсора, а также панель с распределением вклада категорий ошибок в итоговую оценку.</w:t>
      </w:r>
    </w:p>
    <w:p>
      <w:pPr>
        <w:spacing w:after="120" w:before="0" w:line="360"/>
        <w:ind w:firstLine="720"/>
        <w:jc w:val="both"/>
      </w:pPr>
      <w:r>
        <w:rPr>
          <w:rFonts w:ascii="Times New Roman" w:cs="Times New Roman" w:eastAsia="Times New Roman" w:hAnsi="Times New Roman"/>
          <w:sz w:val="28"/>
          <w:szCs w:val="28"/>
        </w:rPr>
        <w:t xml:space="preserve">[Рисунок 3. Скриншот пользовательского интерфейса — предоставит автор.]</w:t>
      </w:r>
    </w:p>
    <w:p>
      <w:r>
        <w:br w:type="page"/>
      </w:r>
    </w:p>
    <w:p>
      <w:pPr>
        <w:pStyle w:val="Heading1"/>
        <w:spacing w:after="240" w:before="480"/>
        <w:jc w:val="center"/>
        <w:outlineLvl w:val="0"/>
      </w:pPr>
      <w:r>
        <w:rPr>
          <w:rFonts w:ascii="Times New Roman" w:cs="Times New Roman" w:eastAsia="Times New Roman" w:hAnsi="Times New Roman"/>
          <w:b/>
          <w:bCs/>
          <w:sz w:val="28"/>
          <w:szCs w:val="28"/>
        </w:rPr>
        <w:t xml:space="preserve">ЗАКЛЮЧЕНИЕ</w:t>
      </w:r>
    </w:p>
    <w:p>
      <w:pPr>
        <w:spacing w:after="120" w:before="0" w:line="360"/>
        <w:ind w:firstLine="720"/>
        <w:jc w:val="both"/>
      </w:pPr>
      <w:r>
        <w:rPr>
          <w:rFonts w:ascii="Times New Roman" w:cs="Times New Roman" w:eastAsia="Times New Roman" w:hAnsi="Times New Roman"/>
          <w:sz w:val="28"/>
          <w:szCs w:val="28"/>
        </w:rPr>
        <w:t xml:space="preserve">В ходе производственной практики была описана логическая структура системы автоматической оценки качества машинного перевода IMTQE, реализующей интерпретируемый гибридный подход. Система сочетает вручную спроектированные лингвистические признаки с ансамблем регрессионных моделей и нейронным классификатором ошибочных фрагментов на базе предобученного многоязычного трансформера.</w:t>
      </w:r>
    </w:p>
    <w:p>
      <w:pPr>
        <w:spacing w:after="120" w:before="0" w:line="360"/>
        <w:ind w:firstLine="720"/>
        <w:jc w:val="both"/>
      </w:pPr>
      <w:r>
        <w:rPr>
          <w:rFonts w:ascii="Times New Roman" w:cs="Times New Roman" w:eastAsia="Times New Roman" w:hAnsi="Times New Roman"/>
          <w:sz w:val="28"/>
          <w:szCs w:val="28"/>
        </w:rPr>
        <w:t xml:space="preserve">Ключевым результатом работы является многоуровневая объяснимость системы. На уровне предложения система формирует числовую оценку качества с доверительным интервалом и распределяет штраф по пяти категориям таксономии MQM с использованием метода SHAP. На уровне слов модель выделяет ошибочные фрагменты с указанием типа ошибки из 17 позиций таксономии MQM. Совокупность этих двух уровней позволяет постредактору не только получить общую оценку, но и понять, какие именно фрагменты перевода требуют проверки и к какому классу ошибок они относятся.</w:t>
      </w:r>
    </w:p>
    <w:p>
      <w:pPr>
        <w:spacing w:after="120" w:before="0" w:line="360"/>
        <w:ind w:firstLine="720"/>
        <w:jc w:val="both"/>
      </w:pPr>
      <w:r>
        <w:rPr>
          <w:rFonts w:ascii="Times New Roman" w:cs="Times New Roman" w:eastAsia="Times New Roman" w:hAnsi="Times New Roman"/>
          <w:sz w:val="28"/>
          <w:szCs w:val="28"/>
        </w:rPr>
        <w:t xml:space="preserve">Описанная архитектура соответствует практической задаче расстановки приоритетов для ручной проверки машинных переводов и отличается от существующих систем-«чёрных ящиков» типа COMET-QE наличием структурированного объяснения на каждом уровне результата. Материалы настоящего отчёта составляют основу второй главы выпускной квалификационной работы.</w:t>
      </w:r>
    </w:p>
    <w:p>
      <w:r>
        <w:br w:type="page"/>
      </w:r>
    </w:p>
    <w:p>
      <w:pPr>
        <w:pStyle w:val="Heading1"/>
        <w:spacing w:after="240" w:before="480"/>
        <w:jc w:val="center"/>
        <w:outlineLvl w:val="0"/>
      </w:pPr>
      <w:r>
        <w:rPr>
          <w:rFonts w:ascii="Times New Roman" w:cs="Times New Roman" w:eastAsia="Times New Roman" w:hAnsi="Times New Roman"/>
          <w:b/>
          <w:bCs/>
          <w:sz w:val="28"/>
          <w:szCs w:val="28"/>
        </w:rPr>
        <w:t xml:space="preserve">СПИСОК ИСПОЛЬЗОВАННЫХ ИСТОЧНИКОВ</w:t>
      </w:r>
    </w:p>
    <w:p>
      <w:pPr>
        <w:spacing w:after="80" w:before="0" w:line="360"/>
        <w:ind w:left="720" w:hanging="720"/>
        <w:jc w:val="both"/>
      </w:pPr>
      <w:r>
        <w:rPr>
          <w:rFonts w:ascii="Times New Roman" w:cs="Times New Roman" w:eastAsia="Times New Roman" w:hAnsi="Times New Roman"/>
          <w:sz w:val="28"/>
          <w:szCs w:val="28"/>
        </w:rPr>
        <w:t xml:space="preserve">1. Freitag M., Foster G., Garg D. et al. Results of the WMT21 Metrics Shared Task: Evaluating Metrics with Expert-based Human Evaluations on TED and News Domain / M. Freitag [et al.] // Proceedings of WMT. — 2021.</w:t>
      </w:r>
    </w:p>
    <w:p>
      <w:pPr>
        <w:spacing w:after="80" w:before="0" w:line="360"/>
        <w:ind w:left="720" w:hanging="720"/>
        <w:jc w:val="both"/>
      </w:pPr>
      <w:r>
        <w:rPr>
          <w:rFonts w:ascii="Times New Roman" w:cs="Times New Roman" w:eastAsia="Times New Roman" w:hAnsi="Times New Roman"/>
          <w:sz w:val="28"/>
          <w:szCs w:val="28"/>
        </w:rPr>
        <w:t xml:space="preserve">2. Rei R., Stewart C., Farinha A. C., Lavie A. COMET: A Neural Framework for MT Evaluation / R. Rei [et al.] // Proceedings of EMNLP. — 2020.</w:t>
      </w:r>
    </w:p>
    <w:p>
      <w:pPr>
        <w:spacing w:after="80" w:before="0" w:line="360"/>
        <w:ind w:left="720" w:hanging="720"/>
        <w:jc w:val="both"/>
      </w:pPr>
      <w:r>
        <w:rPr>
          <w:rFonts w:ascii="Times New Roman" w:cs="Times New Roman" w:eastAsia="Times New Roman" w:hAnsi="Times New Roman"/>
          <w:sz w:val="28"/>
          <w:szCs w:val="28"/>
        </w:rPr>
        <w:t xml:space="preserve">3. Fomicheva M., Sun S., Yankovskaya L. et al. Unsupervised Quality Estimation for Neural Machine Translation / M. Fomicheva [et al.] // Transactions of ACL. — 2020. — Vol. 8. — P. 539-555.</w:t>
      </w:r>
    </w:p>
    <w:p>
      <w:pPr>
        <w:spacing w:after="80" w:before="0" w:line="360"/>
        <w:ind w:left="720" w:hanging="720"/>
        <w:jc w:val="both"/>
      </w:pPr>
      <w:r>
        <w:rPr>
          <w:rFonts w:ascii="Times New Roman" w:cs="Times New Roman" w:eastAsia="Times New Roman" w:hAnsi="Times New Roman"/>
          <w:sz w:val="28"/>
          <w:szCs w:val="28"/>
        </w:rPr>
        <w:t xml:space="preserve">4. Tiedemann J., Thottingal S. OPUS-MT — Building open translation services for the World / J. Tiedemann, S. Thottingal // Proceedings of EAMT. — 2020.</w:t>
      </w:r>
    </w:p>
    <w:p>
      <w:pPr>
        <w:spacing w:after="80" w:before="0" w:line="360"/>
        <w:ind w:left="720" w:hanging="720"/>
        <w:jc w:val="both"/>
      </w:pPr>
      <w:r>
        <w:rPr>
          <w:rFonts w:ascii="Times New Roman" w:cs="Times New Roman" w:eastAsia="Times New Roman" w:hAnsi="Times New Roman"/>
          <w:sz w:val="28"/>
          <w:szCs w:val="28"/>
        </w:rPr>
        <w:t xml:space="preserve">5. Chen T., Guestrin C. XGBoost: A Scalable Tree Boosting System / T. Chen, C. Guestrin // Proceedings of KDD. — 2016. — P. 785-794.</w:t>
      </w:r>
    </w:p>
    <w:p>
      <w:pPr>
        <w:spacing w:after="80" w:before="0" w:line="360"/>
        <w:ind w:left="720" w:hanging="720"/>
        <w:jc w:val="both"/>
      </w:pPr>
      <w:r>
        <w:rPr>
          <w:rFonts w:ascii="Times New Roman" w:cs="Times New Roman" w:eastAsia="Times New Roman" w:hAnsi="Times New Roman"/>
          <w:sz w:val="28"/>
          <w:szCs w:val="28"/>
        </w:rPr>
        <w:t xml:space="preserve">6. Breiman L. Random Forests / L. Breiman // Machine Learning. — 2001. — Vol. 45, No. 1. — P. 5-32.</w:t>
      </w:r>
    </w:p>
    <w:p>
      <w:pPr>
        <w:spacing w:after="80" w:before="0" w:line="360"/>
        <w:ind w:left="720" w:hanging="720"/>
        <w:jc w:val="both"/>
      </w:pPr>
      <w:r>
        <w:rPr>
          <w:rFonts w:ascii="Times New Roman" w:cs="Times New Roman" w:eastAsia="Times New Roman" w:hAnsi="Times New Roman"/>
          <w:sz w:val="28"/>
          <w:szCs w:val="28"/>
        </w:rPr>
        <w:t xml:space="preserve">7. Hoerl A. E., Kennard R. W. Ridge Regression: Biased Estimation for Nonorthogonal Problems / A. E. Hoerl, R. W. Kennard // Technometrics. — 1970. — Vol. 12, No. 1. — P. 55-67.</w:t>
      </w:r>
    </w:p>
    <w:p>
      <w:pPr>
        <w:spacing w:after="80" w:before="0" w:line="360"/>
        <w:ind w:left="720" w:hanging="720"/>
        <w:jc w:val="both"/>
      </w:pPr>
      <w:r>
        <w:rPr>
          <w:rFonts w:ascii="Times New Roman" w:cs="Times New Roman" w:eastAsia="Times New Roman" w:hAnsi="Times New Roman"/>
          <w:sz w:val="28"/>
          <w:szCs w:val="28"/>
        </w:rPr>
        <w:t xml:space="preserve">8. Lundberg S. M., Lee S.-I. A Unified Approach to Interpreting Model Predictions / S. M. Lundberg, S.-I. Lee // Advances in Neural Information Processing Systems. — 2017. — Vol. 30.</w:t>
      </w:r>
    </w:p>
    <w:p>
      <w:pPr>
        <w:spacing w:after="80" w:before="0" w:line="360"/>
        <w:ind w:left="720" w:hanging="720"/>
        <w:jc w:val="both"/>
      </w:pPr>
      <w:r>
        <w:rPr>
          <w:rFonts w:ascii="Times New Roman" w:cs="Times New Roman" w:eastAsia="Times New Roman" w:hAnsi="Times New Roman"/>
          <w:sz w:val="28"/>
          <w:szCs w:val="28"/>
        </w:rPr>
        <w:t xml:space="preserve">9. Conneau A., Khandelwal K., Goyal N. et al. Unsupervised Cross-lingual Representation Learning at Scale / A. Conneau [et al.] // Proceedings of ACL. — 2020. — P. 8440-8451.</w:t>
      </w:r>
    </w:p>
    <w:p>
      <w:pPr>
        <w:spacing w:after="80" w:before="0" w:line="360"/>
        <w:ind w:left="720" w:hanging="720"/>
        <w:jc w:val="both"/>
      </w:pPr>
      <w:r>
        <w:rPr>
          <w:rFonts w:ascii="Times New Roman" w:cs="Times New Roman" w:eastAsia="Times New Roman" w:hAnsi="Times New Roman"/>
          <w:sz w:val="28"/>
          <w:szCs w:val="28"/>
        </w:rPr>
        <w:t xml:space="preserve">10. Feng F., Yang Y., Cer D. et al. Language-agnostic BERT Sentence Embedding / F. Feng [et al.] // Proceedings of ACL. — 2022.</w:t>
      </w:r>
    </w:p>
    <w:p>
      <w:pPr>
        <w:spacing w:after="80" w:before="0" w:line="360"/>
        <w:ind w:left="720" w:hanging="720"/>
        <w:jc w:val="both"/>
      </w:pPr>
      <w:r>
        <w:rPr>
          <w:rFonts w:ascii="Times New Roman" w:cs="Times New Roman" w:eastAsia="Times New Roman" w:hAnsi="Times New Roman"/>
          <w:sz w:val="28"/>
          <w:szCs w:val="28"/>
        </w:rPr>
        <w:t xml:space="preserve">11. Radford A., Wu J., Child R. et al. Language Models are Unsupervised Multitask Learners / A. Radford [et al.] // OpenAI Blog. — 2019.</w:t>
      </w:r>
    </w:p>
    <w:p>
      <w:pPr>
        <w:spacing w:after="80" w:before="0" w:line="360"/>
        <w:ind w:left="720" w:hanging="720"/>
        <w:jc w:val="both"/>
      </w:pPr>
      <w:r>
        <w:rPr>
          <w:rFonts w:ascii="Times New Roman" w:cs="Times New Roman" w:eastAsia="Times New Roman" w:hAnsi="Times New Roman"/>
          <w:sz w:val="28"/>
          <w:szCs w:val="28"/>
        </w:rPr>
        <w:t xml:space="preserve">12. Gage P. A New Algorithm for Data Compression / P. Gage // C Users Journal. — 1994. — Vol. 12, No. 2. — P. 23-38.</w:t>
      </w:r>
    </w:p>
    <w:p>
      <w:pPr>
        <w:spacing w:after="80" w:before="0" w:line="360"/>
        <w:ind w:left="720" w:hanging="720"/>
        <w:jc w:val="both"/>
      </w:pPr>
      <w:r>
        <w:rPr>
          <w:rFonts w:ascii="Times New Roman" w:cs="Times New Roman" w:eastAsia="Times New Roman" w:hAnsi="Times New Roman"/>
          <w:sz w:val="28"/>
          <w:szCs w:val="28"/>
        </w:rPr>
        <w:t xml:space="preserve">13. Lommel A., Uszkoreit H., Burchardt A. Multidimensional Quality Metrics (MQM): A Framework for Declaring and Describing Translation Quality Metrics / A. Lommel, H. Uszkoreit, A. Burchardt // Tradumàtica. — 2014. — No. 12. — P. 455-463.</w:t>
      </w:r>
    </w:p>
    <w:p>
      <w:pPr>
        <w:spacing w:after="80" w:before="0" w:line="360"/>
        <w:ind w:left="720" w:hanging="720"/>
        <w:jc w:val="both"/>
      </w:pPr>
      <w:r>
        <w:rPr>
          <w:rFonts w:ascii="Times New Roman" w:cs="Times New Roman" w:eastAsia="Times New Roman" w:hAnsi="Times New Roman"/>
          <w:sz w:val="28"/>
          <w:szCs w:val="28"/>
        </w:rPr>
        <w:t xml:space="preserve">14. Honnibal M., Montani I. spaCy 2: Natural Language Understanding with Bloom Embeddings, Convolutional Neural Networks and Incremental Parsing / M. Honnibal, I. Montani. — 2017. — Режим доступа: https://spacy.io.</w:t>
      </w:r>
    </w:p>
    <w:p>
      <w:pPr>
        <w:spacing w:after="80" w:before="0" w:line="360"/>
        <w:ind w:left="720" w:hanging="720"/>
        <w:jc w:val="both"/>
      </w:pPr>
      <w:r>
        <w:rPr>
          <w:rFonts w:ascii="Times New Roman" w:cs="Times New Roman" w:eastAsia="Times New Roman" w:hAnsi="Times New Roman"/>
          <w:sz w:val="28"/>
          <w:szCs w:val="28"/>
        </w:rPr>
        <w:t xml:space="preserve">15. Vaswani A., Shazeer N., Parmar N. et al. Attention Is All You Need / A. Vaswani [et al.] // Advances in Neural Information Processing Systems. — 2017. — Vol. 30.</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2026-05-18T21:35:50.005Z</dcterms:created>
  <dcterms:modified xsi:type="dcterms:W3CDTF">2026-05-18T21:35:50.005Z</dcterms:modified>
</cp:coreProperties>
</file>

<file path=docProps/custom.xml><?xml version="1.0" encoding="utf-8"?>
<Properties xmlns="http://schemas.openxmlformats.org/officeDocument/2006/custom-properties" xmlns:vt="http://schemas.openxmlformats.org/officeDocument/2006/docPropsVTypes"/>
</file>