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28"/>
          <w:szCs w:val="28"/>
        </w:rPr>
        <w:t xml:space="preserve">Отчёт о производственной практике</w:t>
      </w:r>
    </w:p>
    <w:p>
      <w:pPr>
        <w:spacing w:after="480" w:before="0"/>
        <w:jc w:val="center"/>
      </w:pPr>
      <w:r>
        <w:rPr>
          <w:rFonts w:ascii="Times New Roman" w:cs="Times New Roman" w:eastAsia="Times New Roman" w:hAnsi="Times New Roman"/>
          <w:b/>
          <w:bCs/>
          <w:sz w:val="26"/>
          <w:szCs w:val="26"/>
        </w:rPr>
        <w:t xml:space="preserve">Реализация системы автоматической оценки качества машинного перевода</w:t>
      </w:r>
    </w:p>
    <w:p>
      <w:pPr>
        <w:pStyle w:val="Heading1"/>
        <w:spacing w:after="240" w:before="360"/>
      </w:pPr>
      <w:r>
        <w:rPr>
          <w:rFonts w:ascii="Times New Roman" w:cs="Times New Roman" w:eastAsia="Times New Roman" w:hAnsi="Times New Roman"/>
          <w:b/>
          <w:bCs/>
          <w:sz w:val="28"/>
          <w:szCs w:val="28"/>
        </w:rPr>
        <w:t xml:space="preserve">ВВЕДЕНИЕ</w:t>
      </w:r>
    </w:p>
    <w:p>
      <w:pPr>
        <w:spacing w:after="160" w:before="0" w:line="360" w:lineRule="auto"/>
        <w:ind w:firstLine="720"/>
        <w:jc w:val="both"/>
      </w:pPr>
      <w:r>
        <w:rPr>
          <w:rFonts w:ascii="Times New Roman" w:cs="Times New Roman" w:eastAsia="Times New Roman" w:hAnsi="Times New Roman"/>
          <w:sz w:val="24"/>
          <w:szCs w:val="24"/>
        </w:rPr>
        <w:t xml:space="preserve">Автоматическая оценка качества машинного перевода представляет собой направление прикладной компьютерной лингвистики, задача которого состоит в том, чтобы численно охарактеризовать соответствие машинного перевода исходному тексту без использования эталонного перевода, созданного человеком. Такая постановка задачи принципиально отличает оценку качества от традиционных автоматических метрик — BLEU, chrF, TER и подобных им, — которые требуют наличия одного или нескольких эталонных переводов. Отсутствие необходимости в эталоне делает системы оценки качества применимыми в промышленных сценариях: при маршрутизации переводов между несколькими машинными системами, при приоритизации сегментов для ручной проверки, при оценке пригодности автоматического перевода к публикации без постредактуры.</w:t>
      </w:r>
    </w:p>
    <w:p>
      <w:pPr>
        <w:spacing w:after="160" w:before="0" w:line="360" w:lineRule="auto"/>
        <w:ind w:firstLine="720"/>
        <w:jc w:val="both"/>
      </w:pPr>
      <w:r>
        <w:rPr>
          <w:rFonts w:ascii="Times New Roman" w:cs="Times New Roman" w:eastAsia="Times New Roman" w:hAnsi="Times New Roman"/>
          <w:sz w:val="24"/>
          <w:szCs w:val="24"/>
        </w:rPr>
        <w:t xml:space="preserve">Особую практическую ценность системы оценки качества представляют для переводчиков и постредакторов, работающих в условиях высокой производительности. Переводчику недостаточно знать, что перевод плох: ему необходимо понимать, в чём именно состоит проблема — пропущен именованный объект, нарушено согласование, фрагмент оставлен непереведённым или же выбрана неудачная лексика. Существующие решения, такие как CometKiwi, достигают высокой корреляции с человеческими оценками, однако с точки зрения интерпретируемости остаются непрозрачными: они возвращают числовую оценку, не объясняя, какие свойства текста к ней привели. Это ограничение существенно снижает их практическую ценность для конечного пользователя.</w:t>
      </w:r>
    </w:p>
    <w:p>
      <w:pPr>
        <w:spacing w:after="160" w:before="0" w:line="360" w:lineRule="auto"/>
        <w:ind w:firstLine="720"/>
        <w:jc w:val="both"/>
      </w:pPr>
      <w:r>
        <w:rPr>
          <w:rFonts w:ascii="Times New Roman" w:cs="Times New Roman" w:eastAsia="Times New Roman" w:hAnsi="Times New Roman"/>
          <w:sz w:val="24"/>
          <w:szCs w:val="24"/>
        </w:rPr>
        <w:t xml:space="preserve">Настоящая практика является продолжением предыдущей, в ходе которой были разработаны архитектура системы, требования к компонентам и контракты между модулями. Цель данной практики состоит в полной реализации системы: создании пайплайна подготовки данных, извлечения лингвистических и семантических признаков, обучении ансамбля регрессионных моделей, дообучении нейросетевого классификатора для выявления ошибочных фрагментов на уровне слов, а также в разработке веб-сервиса с пользовательским интерфейсом. Особое внимание уделяется интерпретируемости: каждый результат системы сопровождается структурированным объяснением, позволяющим пользователю понять причины снижения оценки качества.</w:t>
      </w:r>
    </w:p>
    <w:p>
      <w:pPr>
        <w:spacing w:after="160" w:before="0" w:line="360" w:lineRule="auto"/>
        <w:ind w:firstLine="720"/>
        <w:jc w:val="both"/>
      </w:pPr>
      <w:r>
        <w:rPr>
          <w:rFonts w:ascii="Times New Roman" w:cs="Times New Roman" w:eastAsia="Times New Roman" w:hAnsi="Times New Roman"/>
          <w:sz w:val="24"/>
          <w:szCs w:val="24"/>
        </w:rPr>
        <w:t xml:space="preserve">Отчёт организован следующим образом. Раздел 1 содержит постановку задачи и описание всех используемых наборов данных. Раздел 2 посвящён признаковому пространству системы. Раздел 3 описывает процесс обучения ансамбля регрессионных моделей и механизм получения объяснений. Раздел 4 рассматривает нейросетевой классификатор для выявления ошибочных фрагментов. Раздел 5 описывает систему интерпретации ошибок и сборку итогового результата. Раздел 6 посвящён реализации веб-сервиса и пользовательского интерфейса.</w:t>
      </w:r>
    </w:p>
    <w:p>
      <w:pPr>
        <w:pStyle w:val="Heading1"/>
        <w:spacing w:after="240" w:before="360"/>
      </w:pPr>
      <w:r>
        <w:rPr>
          <w:rFonts w:ascii="Times New Roman" w:cs="Times New Roman" w:eastAsia="Times New Roman" w:hAnsi="Times New Roman"/>
          <w:b/>
          <w:bCs/>
          <w:sz w:val="28"/>
          <w:szCs w:val="28"/>
        </w:rPr>
        <w:t xml:space="preserve">1. ПОСТАНОВКА ЗАДАЧИ И ОПИСАНИЕ ДАННЫХ</w:t>
      </w:r>
    </w:p>
    <w:p>
      <w:pPr>
        <w:pStyle w:val="Heading2"/>
        <w:spacing w:after="160" w:before="280"/>
      </w:pPr>
      <w:r>
        <w:rPr>
          <w:rFonts w:ascii="Times New Roman" w:cs="Times New Roman" w:eastAsia="Times New Roman" w:hAnsi="Times New Roman"/>
          <w:b/>
          <w:bCs/>
          <w:sz w:val="26"/>
          <w:szCs w:val="26"/>
        </w:rPr>
        <w:t xml:space="preserve">1.1. Формальная постановка задачи</w:t>
      </w:r>
    </w:p>
    <w:p>
      <w:pPr>
        <w:spacing w:after="160" w:before="0" w:line="360" w:lineRule="auto"/>
        <w:ind w:firstLine="720"/>
        <w:jc w:val="both"/>
      </w:pPr>
      <w:r>
        <w:rPr>
          <w:rFonts w:ascii="Times New Roman" w:cs="Times New Roman" w:eastAsia="Times New Roman" w:hAnsi="Times New Roman"/>
          <w:sz w:val="24"/>
          <w:szCs w:val="24"/>
        </w:rPr>
        <w:t xml:space="preserve">Система автоматической оценки качества машинного перевода решает задачу в режиме без эталона. На вход подаётся пара текстов: исходное предложение на английском языке и его машинный перевод на русский язык. Ни на этапе обучения, ни на этапе инференса эталонный перевод, созданный человеком, не используется. Это условие является ключевым ограничением задачи и одновременно её главным практическим преимуществом.</w:t>
      </w:r>
    </w:p>
    <w:p>
      <w:pPr>
        <w:spacing w:after="160" w:before="0" w:line="360" w:lineRule="auto"/>
        <w:ind w:firstLine="720"/>
        <w:jc w:val="both"/>
      </w:pPr>
      <w:r>
        <w:rPr>
          <w:rFonts w:ascii="Times New Roman" w:cs="Times New Roman" w:eastAsia="Times New Roman" w:hAnsi="Times New Roman"/>
          <w:sz w:val="24"/>
          <w:szCs w:val="24"/>
        </w:rPr>
        <w:t xml:space="preserve">Система производит три типа выходных данных. Первый — числовая оценка качества перевода в диапазоне от нуля до единицы включительно, где единица соответствует переводу, который аннотаторы оценили как идеальный. Оценка сопровождается доверительным интервалом с уровнем значимости 0,05 и мерой неопределённости модели, что позволяет различать уверенные и неуверенные предсказания. Второй тип выхода — список ошибочных фрагментов перевода (далее — спанов) с указанием степени серьёзности ошибки и её типа по таксономии многомерной оценки качества (MQM, Multidimensional Quality Metrics). Третий тип — объяснение числовой оценки в виде вкладов тематических категорий ошибок: точность, языковая грамотность, терминология, локализация, стиль.</w:t>
      </w:r>
    </w:p>
    <w:p>
      <w:pPr>
        <w:spacing w:after="160" w:before="0" w:line="360" w:lineRule="auto"/>
        <w:ind w:firstLine="720"/>
        <w:jc w:val="both"/>
      </w:pPr>
      <w:r>
        <w:rPr>
          <w:rFonts w:ascii="Times New Roman" w:cs="Times New Roman" w:eastAsia="Times New Roman" w:hAnsi="Times New Roman"/>
          <w:sz w:val="24"/>
          <w:szCs w:val="24"/>
        </w:rPr>
        <w:t xml:space="preserve">Такая трёхуровневая структура выходных данных отличает разработанную систему от большинства существующих решений. Нейросетевые модели класса CometKiwi, достигающие наилучших результатов на конкурсных задачах, возвращают единственное число и не предоставляют никакого объяснения. Разработанная система, напротив, строится на принципе встроенной интерпретируемости: объяснение является не дополнительным компонентом, а частью основной архитектуры на каждом из трёх уровней.</w:t>
      </w:r>
    </w:p>
    <w:p>
      <w:pPr>
        <w:spacing w:after="160" w:before="0" w:line="360" w:lineRule="auto"/>
        <w:ind w:firstLine="720"/>
        <w:jc w:val="both"/>
      </w:pPr>
      <w:r>
        <w:rPr>
          <w:rFonts w:ascii="Times New Roman" w:cs="Times New Roman" w:eastAsia="Times New Roman" w:hAnsi="Times New Roman"/>
          <w:sz w:val="24"/>
          <w:szCs w:val="24"/>
        </w:rPr>
        <w:t xml:space="preserve">Центральной целевой переменной для обучения регрессионных моделей является нормализованная оценка прямой оценки качества, которая в литературе обозначается как Direct Assessment (DA). Методология Direct Assessment предполагает, что аннотаторы независимо друг от друга оценивают качество перевода по непрерывной шкале от нуля до ста. Такая методология была принята сообществом WMT начиная с 2016 года и применяется во всех последующих кампаниях по оценке машинного перевода. Оценки нескольких аннотаторов для одной и той же пары агрегируются путём Z-нормализации по оценщику, что компенсирует систематические сдвиги в шкалах разных людей, а затем усредняются.</w:t>
      </w:r>
    </w:p>
    <w:p>
      <w:pPr>
        <w:pStyle w:val="Heading2"/>
        <w:spacing w:after="160" w:before="280"/>
      </w:pPr>
      <w:r>
        <w:rPr>
          <w:rFonts w:ascii="Times New Roman" w:cs="Times New Roman" w:eastAsia="Times New Roman" w:hAnsi="Times New Roman"/>
          <w:b/>
          <w:bCs/>
          <w:sz w:val="26"/>
          <w:szCs w:val="26"/>
        </w:rPr>
        <w:t xml:space="preserve">1.2. Набор данных Direct Assessment</w:t>
      </w:r>
    </w:p>
    <w:p>
      <w:pPr>
        <w:spacing w:after="160" w:before="0" w:line="360" w:lineRule="auto"/>
        <w:ind w:firstLine="720"/>
        <w:jc w:val="both"/>
      </w:pPr>
      <w:r>
        <w:rPr>
          <w:rFonts w:ascii="Times New Roman" w:cs="Times New Roman" w:eastAsia="Times New Roman" w:hAnsi="Times New Roman"/>
          <w:sz w:val="24"/>
          <w:szCs w:val="24"/>
        </w:rPr>
        <w:t xml:space="preserve">Основным источником обучающих данных служит набор WMT DA Human Evaluation, опубликованный в репозитории RicardoRei/wmt-da-human-evaluation на платформе Hugging Face. Этот набор объединяет результаты ежегодных кампаний WMT по оценке машинного перевода и содержит человеческие оценки Direct Assessment для множества языковых пар и систем машинного перевода. Для целей настоящей работы из набора извлекаются только пары языковой пары английский — русский.</w:t>
      </w:r>
    </w:p>
    <w:p>
      <w:pPr>
        <w:spacing w:after="160" w:before="0" w:line="360" w:lineRule="auto"/>
        <w:ind w:firstLine="720"/>
        <w:jc w:val="both"/>
      </w:pPr>
      <w:r>
        <w:rPr>
          <w:rFonts w:ascii="Times New Roman" w:cs="Times New Roman" w:eastAsia="Times New Roman" w:hAnsi="Times New Roman"/>
          <w:sz w:val="24"/>
          <w:szCs w:val="24"/>
        </w:rPr>
        <w:t xml:space="preserve">Исходные оценки представлены в шкале от нуля до ста. Перед обучением выполняется минимаксная нормализация: оценки приводятся к диапазону от нуля до единицы. Принципиально важно, что параметры нормализации — минимум и максимум — вычисляются исключительно по обучающей части набора данных. Применение этих же параметров к валидационной и тестовой частям исключает утечку информации о статистике целевой переменной на этапе оценки модели. После нормализации оценки обрезаются в диапазон от 0,0001 до 0,9999: это необходимо для корректного применения бета-аппроксимации неопределённости, которая требует строго положительных и строго меньших единицы значений.</w:t>
      </w:r>
    </w:p>
    <w:p>
      <w:pPr>
        <w:spacing w:after="160" w:before="0" w:line="360" w:lineRule="auto"/>
        <w:ind w:firstLine="720"/>
        <w:jc w:val="both"/>
      </w:pPr>
      <w:r>
        <w:rPr>
          <w:rFonts w:ascii="Times New Roman" w:cs="Times New Roman" w:eastAsia="Times New Roman" w:hAnsi="Times New Roman"/>
          <w:sz w:val="24"/>
          <w:szCs w:val="24"/>
        </w:rPr>
        <w:t xml:space="preserve">Разбиение набора на обучающую, валидационную и тестовую части выполняется в соотношении 85 : 10 : 5. Разбиение является стратифицированным: перед разделением набор делится на пять квантильных интервалов по значению исходной оценки качества таким образом, чтобы в каждом интервале оказалось примерно одинаковое число примеров. Внутри каждого интервала примеры перемешиваются случайным образом с фиксированным значением генератора случайных чисел (seed = 42), после чего разбиваются в заданном соотношении. Такой подход гарантирует, что все три части набора данных имеют практически одинаковое распределение оценок качества и репрезентируют весь диапазон от плохих до хороших переводов.</w:t>
      </w:r>
    </w:p>
    <w:p>
      <w:pPr>
        <w:spacing w:after="160" w:before="0" w:line="360" w:lineRule="auto"/>
        <w:ind w:firstLine="720"/>
        <w:jc w:val="both"/>
      </w:pPr>
      <w:r>
        <w:rPr>
          <w:rFonts w:ascii="Times New Roman" w:cs="Times New Roman" w:eastAsia="Times New Roman" w:hAnsi="Times New Roman"/>
          <w:sz w:val="24"/>
          <w:szCs w:val="24"/>
        </w:rPr>
        <w:t xml:space="preserve">Уникальность каждой пары «исходный текст — машинный перевод» в наборе обеспечивается через хэш-идентификатор. Для каждой пары вычисляется значение хэш-функции SHA-256 от конкатенации очищенных текстов с разделителем. Этот идентификатор используется в дальнейшем при дедупликации с данными MQM, а также для выявления возможных совпадений между синтетическими и реальными примерами.</w:t>
      </w:r>
    </w:p>
    <w:p>
      <w:pPr>
        <w:pStyle w:val="Heading2"/>
        <w:spacing w:after="160" w:before="280"/>
      </w:pPr>
      <w:r>
        <w:rPr>
          <w:rFonts w:ascii="Times New Roman" w:cs="Times New Roman" w:eastAsia="Times New Roman" w:hAnsi="Times New Roman"/>
          <w:b/>
          <w:bCs/>
          <w:sz w:val="26"/>
          <w:szCs w:val="26"/>
        </w:rPr>
        <w:t xml:space="preserve">1.3. Набор данных MQM и его роль в системе</w:t>
      </w:r>
    </w:p>
    <w:p>
      <w:pPr>
        <w:spacing w:after="160" w:before="0" w:line="360" w:lineRule="auto"/>
        <w:ind w:firstLine="720"/>
        <w:jc w:val="both"/>
      </w:pPr>
      <w:r>
        <w:rPr>
          <w:rFonts w:ascii="Times New Roman" w:cs="Times New Roman" w:eastAsia="Times New Roman" w:hAnsi="Times New Roman"/>
          <w:sz w:val="24"/>
          <w:szCs w:val="24"/>
        </w:rPr>
        <w:t xml:space="preserve">В качестве внешнего тестового набора данных используется набор WMT MQM Human Evaluation, опубликованный в репозитории RicardoRei/wmt-mqm-human-evaluation. Методология многомерной оценки качества (MQM) принципиально отличается от Direct Assessment. Вместо единой числовой оценки по шкале от нуля до ста аннотаторы фиксируют конкретные ошибки в тексте перевода, указывая их местоположение, тип по таксономии MQM и степень серьёзности. Итоговая оценка вычисляется как штрафная: за каждую ошибку вычитается заранее заданное количество штрафных очков в зависимости от серьёзности. Такая методология обеспечивает более детализированную и воспроизводимую разметку по сравнению с DA, однако требует значительно больших затрат на аннотацию.</w:t>
      </w:r>
    </w:p>
    <w:p>
      <w:pPr>
        <w:spacing w:after="160" w:before="0" w:line="360" w:lineRule="auto"/>
        <w:ind w:firstLine="720"/>
        <w:jc w:val="both"/>
      </w:pPr>
      <w:r>
        <w:rPr>
          <w:rFonts w:ascii="Times New Roman" w:cs="Times New Roman" w:eastAsia="Times New Roman" w:hAnsi="Times New Roman"/>
          <w:sz w:val="24"/>
          <w:szCs w:val="24"/>
        </w:rPr>
        <w:t xml:space="preserve">Набор MQM применяется в работе для двух целей. Первая — внешнее тестирование регрессионных моделей, позволяющее оценить их обобщающую способность на данных с иной методологией разметки. Вторая — обоснование таксономии ошибок, использованной в системе интерпретации результатов: категории типов ошибок, выявляемых в переводе, соответствуют иерархии MQM.</w:t>
      </w:r>
    </w:p>
    <w:p>
      <w:pPr>
        <w:spacing w:after="160" w:before="0" w:line="360" w:lineRule="auto"/>
        <w:ind w:firstLine="720"/>
        <w:jc w:val="both"/>
      </w:pPr>
      <w:r>
        <w:rPr>
          <w:rFonts w:ascii="Times New Roman" w:cs="Times New Roman" w:eastAsia="Times New Roman" w:hAnsi="Times New Roman"/>
          <w:sz w:val="24"/>
          <w:szCs w:val="24"/>
        </w:rPr>
        <w:t xml:space="preserve">Перед использованием набора MQM в качестве внешнего теста выполняется дедупликация: из него удаляются все пары «исходный текст — машинный перевод», хэш-идентификаторы которых совпадают с идентификаторами пар из обучающей части набора DA. Эта процедура исключает возможность того, что модель при оценке на внешнем тесте встретит примеры, которые она видела во время обучения. Если в ходе дедупликации удаляется более пяти процентов строк, система выводит предупреждение о возможной систематической утечке данных между наборами.</w:t>
      </w:r>
    </w:p>
    <w:p>
      <w:pPr>
        <w:pStyle w:val="Heading2"/>
        <w:spacing w:after="160" w:before="280"/>
      </w:pPr>
      <w:r>
        <w:rPr>
          <w:rFonts w:ascii="Times New Roman" w:cs="Times New Roman" w:eastAsia="Times New Roman" w:hAnsi="Times New Roman"/>
          <w:b/>
          <w:bCs/>
          <w:sz w:val="26"/>
          <w:szCs w:val="26"/>
        </w:rPr>
        <w:t xml:space="preserve">1.4. Набор данных WMT21 на уровне слов</w:t>
      </w:r>
    </w:p>
    <w:p>
      <w:pPr>
        <w:spacing w:after="160" w:before="0" w:line="360" w:lineRule="auto"/>
        <w:ind w:firstLine="720"/>
        <w:jc w:val="both"/>
      </w:pPr>
      <w:r>
        <w:rPr>
          <w:rFonts w:ascii="Times New Roman" w:cs="Times New Roman" w:eastAsia="Times New Roman" w:hAnsi="Times New Roman"/>
          <w:sz w:val="24"/>
          <w:szCs w:val="24"/>
        </w:rPr>
        <w:t xml:space="preserve">Для обучения нейросетевого классификатора ошибочных фрагментов используются данные кампании WMT 2021, содержащие пословную разметку качества для языковой пары английский — русский. Набор охватывает два домена: новостные тексты и выступления в формате коротких публичных докладов (TED Talks). Многодоменность важна для обобщающей способности классификатора: тексты этих доменов существенно различаются по лексике, синтаксической сложности и характерным типам ошибок машинного перевода.</w:t>
      </w:r>
    </w:p>
    <w:p>
      <w:pPr>
        <w:spacing w:after="160" w:before="0" w:line="360" w:lineRule="auto"/>
        <w:ind w:firstLine="720"/>
        <w:jc w:val="both"/>
      </w:pPr>
      <w:r>
        <w:rPr>
          <w:rFonts w:ascii="Times New Roman" w:cs="Times New Roman" w:eastAsia="Times New Roman" w:hAnsi="Times New Roman"/>
          <w:sz w:val="24"/>
          <w:szCs w:val="24"/>
        </w:rPr>
        <w:t xml:space="preserve">Исходные данные WMT21 включают четыре типа файлов для каждого домена. Файлы с расширением .src содержат исходные предложения на английском языке. Файлы .mt — машинные переводы на русский язык с добавленным в конце каждого предложения служебным токеном &lt;EOS&gt;, который удаляется при обработке. Файлы .tags содержат пословные бинарные метки «OK» или «BAD» для каждого слова машинного перевода. Файлы .tsv содержат более детальные аннотации MQM с указанием степени серьёзности ошибки: незначительная (minor), существенная (major) или критическая (critical).</w:t>
      </w:r>
    </w:p>
    <w:p>
      <w:pPr>
        <w:spacing w:after="160" w:before="0" w:line="360" w:lineRule="auto"/>
        <w:ind w:firstLine="720"/>
        <w:jc w:val="both"/>
      </w:pPr>
      <w:r>
        <w:rPr>
          <w:rFonts w:ascii="Times New Roman" w:cs="Times New Roman" w:eastAsia="Times New Roman" w:hAnsi="Times New Roman"/>
          <w:sz w:val="24"/>
          <w:szCs w:val="24"/>
        </w:rPr>
        <w:t xml:space="preserve">Логика преобразования исходных аннотаций в метки для обучения классификатора устроена следующим образом. Бинарная метка «OK» или «BAD» для каждого слова берётся непосредственно из файла .tags. Степень серьёзности определяется на уровне предложения из файла .tsv: если для данного предложения зафиксирована хотя бы одна ошибка с квалификацией «major» или «critical», все слова с меткой «BAD» в этом предложении получают класс «BAD-major»; в противном случае — «BAD-minor». Если предложение отсутствует в файле .tsv (то есть аннотаторы не зафиксировали для него никаких ошибок), все «BAD» слова консервативно получают класс «BAD-minor». Итоговая разметка включает три класса: «OK», «BAD-minor» и «BAD-major».</w:t>
      </w:r>
    </w:p>
    <w:p>
      <w:pPr>
        <w:spacing w:after="160" w:before="0" w:line="360" w:lineRule="auto"/>
        <w:ind w:firstLine="720"/>
        <w:jc w:val="both"/>
      </w:pPr>
      <w:r>
        <w:rPr>
          <w:rFonts w:ascii="Times New Roman" w:cs="Times New Roman" w:eastAsia="Times New Roman" w:hAnsi="Times New Roman"/>
          <w:sz w:val="24"/>
          <w:szCs w:val="24"/>
        </w:rPr>
        <w:t xml:space="preserve">Разбиение на обучающую, валидационную и тестовую части выполняется в том же соотношении 85 : 10 : 5, что и для набора DA. Стратификация производится по значению максимальной серьёзности ошибки в предложении: предложения без ошибок, с незначительными ошибками и с существенными ошибками попадают в каждую из трёх частей примерно в одинаковой пропорции. Это гарантирует, что тестовый набор репрезентирует полный спектр качества переводов.</w:t>
      </w:r>
    </w:p>
    <w:p>
      <w:pPr>
        <w:pStyle w:val="Heading2"/>
        <w:spacing w:after="160" w:before="280"/>
      </w:pPr>
      <w:r>
        <w:rPr>
          <w:rFonts w:ascii="Times New Roman" w:cs="Times New Roman" w:eastAsia="Times New Roman" w:hAnsi="Times New Roman"/>
          <w:b/>
          <w:bCs/>
          <w:sz w:val="26"/>
          <w:szCs w:val="26"/>
        </w:rPr>
        <w:t xml:space="preserve">1.5. Синтетическое расширение обучающего набора</w:t>
      </w:r>
    </w:p>
    <w:p>
      <w:pPr>
        <w:spacing w:after="160" w:before="0" w:line="360" w:lineRule="auto"/>
        <w:ind w:firstLine="720"/>
        <w:jc w:val="both"/>
      </w:pPr>
      <w:r>
        <w:rPr>
          <w:rFonts w:ascii="Times New Roman" w:cs="Times New Roman" w:eastAsia="Times New Roman" w:hAnsi="Times New Roman"/>
          <w:sz w:val="24"/>
          <w:szCs w:val="24"/>
        </w:rPr>
        <w:t xml:space="preserve">Обучающий набор данных DA существенно разбалансирован по целевой переменной: большинство примеров соответствуют переводам среднего и высокого качества, тогда как примеров с очень низкими оценками значительно меньше. Для устранения этого дисбаланса и улучшения способности моделей различать хорошие и плохие переводы обучающий набор дополняется синтетически сгенерированными примерами низкого качества.</w:t>
      </w:r>
    </w:p>
    <w:p>
      <w:pPr>
        <w:spacing w:after="160" w:before="0" w:line="360" w:lineRule="auto"/>
        <w:ind w:firstLine="720"/>
        <w:jc w:val="both"/>
      </w:pPr>
      <w:r>
        <w:rPr>
          <w:rFonts w:ascii="Times New Roman" w:cs="Times New Roman" w:eastAsia="Times New Roman" w:hAnsi="Times New Roman"/>
          <w:sz w:val="24"/>
          <w:szCs w:val="24"/>
        </w:rPr>
        <w:t xml:space="preserve">Синтетические примеры создаются из реальных пар обучающей части путём целенаправленной порчи машинного перевода. Реализованы четыре метода порчи, имитирующих различные типы ошибок машинного перевода.</w:t>
      </w:r>
    </w:p>
    <w:p>
      <w:pPr>
        <w:spacing w:after="160" w:before="0" w:line="360" w:lineRule="auto"/>
        <w:ind w:firstLine="720"/>
        <w:jc w:val="both"/>
      </w:pPr>
      <w:r>
        <w:rPr>
          <w:rFonts w:ascii="Times New Roman" w:cs="Times New Roman" w:eastAsia="Times New Roman" w:hAnsi="Times New Roman"/>
          <w:sz w:val="24"/>
          <w:szCs w:val="24"/>
        </w:rPr>
        <w:t xml:space="preserve">Первый метод — случайная перестановка. Все слова машинного перевода случайным образом перемешиваются, что полностью разрушает синтаксическую структуру предложения и делает текст грамматически некорректным. Если результат случайного перемешивания совпадает с исходным порядком слов, применяется обратная перестановка. Метод применим только к предложениям, содержащим не менее трёх слов. Синтетической оценке присваивается случайное значение из диапазона от 0,10 до 0,30, что соответствует оценкам грубо ошибочных переводов в реальных данных DA.</w:t>
      </w:r>
    </w:p>
    <w:p>
      <w:pPr>
        <w:spacing w:after="160" w:before="0" w:line="360" w:lineRule="auto"/>
        <w:ind w:firstLine="720"/>
        <w:jc w:val="both"/>
      </w:pPr>
      <w:r>
        <w:rPr>
          <w:rFonts w:ascii="Times New Roman" w:cs="Times New Roman" w:eastAsia="Times New Roman" w:hAnsi="Times New Roman"/>
          <w:sz w:val="24"/>
          <w:szCs w:val="24"/>
        </w:rPr>
        <w:t xml:space="preserve">Второй метод — частичный возврат к исходному языку. Тридцать процентов слов машинного перевода заменяются случайными словами из исходного английского текста. Этот метод имитирует ситуацию, когда машинная система не смогла перевести отдельные фрагменты и оставила их на исходном языке. Оценка качества для таких примеров случайно выбирается из диапазона от нуля до 0,20, что отражает наибольшую серьёзность этого типа ошибок.</w:t>
      </w:r>
    </w:p>
    <w:p>
      <w:pPr>
        <w:spacing w:after="160" w:before="0" w:line="360" w:lineRule="auto"/>
        <w:ind w:firstLine="720"/>
        <w:jc w:val="both"/>
      </w:pPr>
      <w:r>
        <w:rPr>
          <w:rFonts w:ascii="Times New Roman" w:cs="Times New Roman" w:eastAsia="Times New Roman" w:hAnsi="Times New Roman"/>
          <w:sz w:val="24"/>
          <w:szCs w:val="24"/>
        </w:rPr>
        <w:t xml:space="preserve">Третий метод — удаление слов. Тридцать процентов слов машинного перевода удаляется. При этом гарантируется, что удаляется хотя бы одно слово и в результирующем тексте остаётся хотя бы одно слово. Метод имитирует пропуск фрагментов исходного текста при переводе, что является одним из наиболее распространённых типов ошибок машинного перевода для длинных предложений. Синтетическая оценка выбирается из диапазона от 0,10 до 0,40.</w:t>
      </w:r>
    </w:p>
    <w:p>
      <w:pPr>
        <w:spacing w:after="160" w:before="0" w:line="360" w:lineRule="auto"/>
        <w:ind w:firstLine="720"/>
        <w:jc w:val="both"/>
      </w:pPr>
      <w:r>
        <w:rPr>
          <w:rFonts w:ascii="Times New Roman" w:cs="Times New Roman" w:eastAsia="Times New Roman" w:hAnsi="Times New Roman"/>
          <w:sz w:val="24"/>
          <w:szCs w:val="24"/>
        </w:rPr>
        <w:t xml:space="preserve">Четвёртый метод — замена именованных объектов. В тексте машинного перевода находится слово, начинающееся с заглавной буквы или содержащее цифру. Это слово заменяется на случайно выбранный элемент из фиксированного пула, включающего названия известных компаний, географических объектов и числа. Метод имитирует ошибки в передаче именованных объектов — один из наиболее критичных типов ошибок для пользователей, поскольку неверно переданное имя собственное или число может полностью исказить смысл текста. Оценка выбирается из диапазона от 0,20 до 0,50.</w:t>
      </w:r>
    </w:p>
    <w:p>
      <w:pPr>
        <w:spacing w:after="160" w:before="0" w:line="360" w:lineRule="auto"/>
        <w:ind w:firstLine="720"/>
        <w:jc w:val="both"/>
      </w:pPr>
      <w:r>
        <w:rPr>
          <w:rFonts w:ascii="Times New Roman" w:cs="Times New Roman" w:eastAsia="Times New Roman" w:hAnsi="Times New Roman"/>
          <w:sz w:val="24"/>
          <w:szCs w:val="24"/>
        </w:rPr>
        <w:t xml:space="preserve">Для каждого синтетического примера вычисляется уникальный хэш-идентификатор пары. Примеры, хэш которых совпадает с уже существующими в наборе (как реальными, так и ранее сгенерированными синтетическими), не добавляются. Каждый синтетический пример маркируется флагом is_synthetic и содержит ссылку на родительскую пару, что позволяет в любой момент фильтровать синтетические примеры или изменять их вес при обучении.</w:t>
      </w:r>
    </w:p>
    <w:p>
      <w:pPr>
        <w:spacing w:after="160" w:before="0" w:line="360" w:lineRule="auto"/>
        <w:ind w:firstLine="720"/>
        <w:jc w:val="both"/>
      </w:pPr>
      <w:r>
        <w:rPr>
          <w:rFonts w:ascii="Times New Roman" w:cs="Times New Roman" w:eastAsia="Times New Roman" w:hAnsi="Times New Roman"/>
          <w:sz w:val="24"/>
          <w:szCs w:val="24"/>
        </w:rPr>
        <w:t xml:space="preserve">При обучении регрессионных моделей синтетическим примерам назначается пониженный весовой коэффициент — 0,12 относительно единицы для реальных примеров. Помимо этого, доля синтетических строк в каждой обучающей выборке ограничивается тридцатью процентами путём подвыборки. Оба эти механизма предотвращают доминирование синтетических данных: они помогают модели лучше распознавать низкокачественные переводы, не искажая при этом её восприятие реального распределения оценок.</w:t>
      </w:r>
    </w:p>
    <w:sectPr>
      <w:headerReference w:type="default" r:id="rId7"/>
      <w:footerReference w:type="default" r:id="rId8"/>
      <w:pgSz w:w="11906" w:h="16838" w:orient="portrait"/>
      <w:pgMar w:top="1440" w:right="1008"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color w:val="666666"/>
        <w:sz w:val="20"/>
        <w:szCs w:val="20"/>
      </w:rPr>
      <w:t xml:space="preserve">Отчёт о производственной практике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jc w:val="left"/>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280"/>
      <w:jc w:val="left"/>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2026-05-17T01:44:52.975Z</dcterms:created>
  <dcterms:modified xsi:type="dcterms:W3CDTF">2026-05-17T01:44:52.975Z</dcterms:modified>
</cp:coreProperties>
</file>

<file path=docProps/custom.xml><?xml version="1.0" encoding="utf-8"?>
<Properties xmlns="http://schemas.openxmlformats.org/officeDocument/2006/custom-properties" xmlns:vt="http://schemas.openxmlformats.org/officeDocument/2006/docPropsVTypes"/>
</file>