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pPr>
      <w:r>
        <w:rPr>
          <w:rFonts w:ascii="Times New Roman" w:cs="Times New Roman" w:eastAsia="Times New Roman" w:hAnsi="Times New Roman"/>
          <w:b/>
          <w:bCs/>
          <w:sz w:val="28"/>
          <w:szCs w:val="28"/>
        </w:rPr>
        <w:t xml:space="preserve">2. ПРИЗНАКОВОЕ ПРОСТРАНСТВО СИСТЕМЫ</w:t>
      </w:r>
    </w:p>
    <w:p>
      <w:pPr>
        <w:spacing w:after="0" w:before="0" w:line="360" w:lineRule="auto"/>
        <w:ind w:firstLine="720"/>
        <w:jc w:val="both"/>
      </w:pPr>
      <w:r>
        <w:rPr>
          <w:rFonts w:ascii="Times New Roman" w:cs="Times New Roman" w:eastAsia="Times New Roman" w:hAnsi="Times New Roman"/>
          <w:sz w:val="24"/>
          <w:szCs w:val="24"/>
        </w:rPr>
        <w:t xml:space="preserve">Признаковое пространство является центральным компонентом системы, поскольку именно оно определяет, какая информация о качестве перевода доступна для регрессионных моделей и каким образом эта информация преобразуется в числовое представление. Совокупный признаковый вектор содержит сорок три признака, организованных в пять групп: структурные признаки, форматные признаки, лингвистические признаки, семантические признаки, признаки языковой гладкости и производные признаки. Такая организация отражает иерархию лингвистического анализа: от поверхностных метрик длины и форматирования — к морфологии, семантике и взаимодействиям между разными уровнями анализа.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Порядок признаков в векторе фиксирован и определён в модуле схемы признаков. Этот порядок поддерживается как при пакетном извлечении признаков во время обучения — когда данные обрабатываются в виде таблиц — так и при инференсе, когда признаки извлекаются по одному предложению и представлены в виде словаря. Единообразие порядка обеспечивает согласованность между этапами обучения и применения системы и исключает возможность рассогласования признакового вектора с ожиданиями обученной модели.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Извлечение признаков реализовано в классе FeatureExtractor, который инициализирует все необходимые языковые модели при создании и сохраняет их в оперативной памяти на протяжении всего времени работы сервиса. Такой подход позволяет избежать многократной загрузки тяжёлых нейросетевых моделей при обработке каждого нового запроса. Для масштабного извлечения признаков на обучающих данных предусмотрен режим пакетной обработки с поддержкой промежуточных контрольных точек, позволяющих возобновить вычисления после прерывания.</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2.1. Структурные признаки</w:t>
      </w:r>
    </w:p>
    <w:p>
      <w:pPr>
        <w:spacing w:after="0" w:before="0" w:line="360" w:lineRule="auto"/>
        <w:ind w:firstLine="720"/>
        <w:jc w:val="both"/>
      </w:pPr>
      <w:r>
        <w:rPr>
          <w:rFonts w:ascii="Times New Roman" w:cs="Times New Roman" w:eastAsia="Times New Roman" w:hAnsi="Times New Roman"/>
          <w:sz w:val="24"/>
          <w:szCs w:val="24"/>
        </w:rPr>
        <w:t xml:space="preserve">Структурные признаки описывают соотношение длин исходного текста и его перевода на уровне токенов и символов. Они являются наиболее вычислительно простой группой: для их извлечения требуется только токенизация текстов, выполняемая библиотекой spaCy без обращения к графическому процессору. Несмотря на простоту, структурные признаки несут значимую информацию: грубые нарушения соотношения длин часто указывают на пропуск или добавление фрагментов текста.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Ключевым признаком группы является соотношение числа токенов перевода к числу токенов исходного текста. Это соотношение имеет выраженную лингвистическую специфику для пары «английский — русский»: русский язык морфологически богаче английского, слова содержат флексии, выражающие падеж, число, род и другие грамматические категории, что приводит к увеличению средней длины слова и, как следствие, к большему числу символов на единицу смысла. Эмпирически ожидаемое соотношение длин для этой языковой пары составляет около 1,30: качественный русский перевод в среднем примерно на тридцать процентов длиннее английского оригинала по числу токенов. Значительное отклонение в меньшую сторону может указывать на пропуск части исходного содержания, в большую — на добавление лишней информации или раздутость формулировок.</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Помимо базового соотношения длин, вычисляются его отклонение от ожидаемого значения 1,30 и мягкая целевая функция от этого отклонения, которая принимает значение, близкое к единице, когда отклонение мало, и снижается по мере его роста. Абсолютная разность числа токенов и знаковая разность дополняют картину. Соотношение числа символов (а не токенов) отражает иной аспект длины: оно чувствительно к средней длине слов и может выявлять ситуации, когда перевод состоит из правильного числа слов, но слова значительно короче или длиннее ожидаемых. Наконец, разность числа предложений, определяемая по знакам завершения предложения, фиксирует случаи слияния или разбиения предложений при переводе, что является распространённой проблемой машинных переводчиков при работе со сложными синтаксическими конструкциями.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2.2. Форматные признаки</w:t>
      </w:r>
    </w:p>
    <w:p>
      <w:pPr>
        <w:spacing w:after="0" w:before="0" w:line="360" w:lineRule="auto"/>
        <w:ind w:firstLine="720"/>
        <w:jc w:val="both"/>
      </w:pPr>
      <w:r>
        <w:rPr>
          <w:rFonts w:ascii="Times New Roman" w:cs="Times New Roman" w:eastAsia="Times New Roman" w:hAnsi="Times New Roman"/>
          <w:sz w:val="24"/>
          <w:szCs w:val="24"/>
        </w:rPr>
        <w:t xml:space="preserve">Форматные признаки контролируют соответствие локализационных и типографических соглашений между исходным текстом и переводом. Ошибки в этой группе часто носят детерминированный характер: если число встречается в оригинале, оно должно быть корректно передано в переводе; если в тексте используются кавычки, их вид должен соответствовать нормам русского языка. Такие ошибки машинные переводчики совершают систематически и нередко вне зависимости от общего качества перевода.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соответствия числовых значений вычисляется как доля чисел из исходного текста, присутствующих в переводе. Для этого из обоих текстов регулярным выражением извлекаются все числовые последовательности, включая целые и дробные числа с разделителями-запятыми или точками. Признак принимает значение единицы, если все числа сохранены, и уменьшается пропорционально числу пропущенных значений. Если исходный текст не содержит чисел, признак принимает значение единицы по умолчанию. Дополнительно вычисляется разность между числом числовых вхождений в переводе и оригинале — это позволяет обнаружить не только пропуск, но и добавление лишних чисел.</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соотношения знаков препинания измеряет, насколько пунктуационная насыщенность перевода соответствует исходному тексту. Отклонение может сигнализировать о слиянии предложений, неверной расстановке запятых или об утрате структуры перечислений. Признак несоответствия кавычек фиксирует случаи, когда в оригинале присутствуют прямые кавычки, а в переводе они воспроизведены в том же виде вместо русских типографских кавычек-ёлочек. Это распространённая ошибка локализации, поскольку большинство машинных переводчиков не выполняют замену типографских соглашений автоматически.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ошибки формата даты выявляет ситуации, когда дата из оригинала скопирована в перевод без адаптации к русскому формату записи. Регулярное выражение распознаёт даты в форматах с косой чертой и полным названием месяца на английском языке. Признак несоответствия регистра фиксирует случаи, когда в оригинале присутствуют слова с характерным для имён собственных чередованием заглавных и строчных букв, а в переводе они отсутствуют — что может свидетельствовать о потере или неверной передаче имени. Признак несоответствия символов валют принимает значение единицы, если оригинал содержит символ валюты, а перевод — нет, что указывает на его пропуск при локализации.</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2.3. Лингвистические признаки</w:t>
      </w:r>
    </w:p>
    <w:p>
      <w:pPr>
        <w:spacing w:after="0" w:before="0" w:line="360" w:lineRule="auto"/>
        <w:ind w:firstLine="720"/>
        <w:jc w:val="both"/>
      </w:pPr>
      <w:r>
        <w:rPr>
          <w:rFonts w:ascii="Times New Roman" w:cs="Times New Roman" w:eastAsia="Times New Roman" w:hAnsi="Times New Roman"/>
          <w:sz w:val="24"/>
          <w:szCs w:val="24"/>
        </w:rPr>
        <w:t xml:space="preserve">Лингвистические признаки составляют наиболее разнообразную группу и охватывают несколько уровней языкового анализа: лексический, морфологический, синтаксический и семантический на уровне именованных сущностей. Для их извлечения используются три программных инструмента: библиотека spaCy с моделями для русского и английского языков, а также морфологический анализатор pymorphy2 или его более поздняя версия pymorphy3.</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Библиотека spaCy предоставляет токенизацию, лемматизацию, морфологический разбор, синтаксический разбор зависимостей и распознавание именованных сущностей. Для русского языка используется модель ru_core_news_sm, обученная на новостных корпусах. Для английского языка применяется облегчённая модель en_core_web_sm без таггера, парсера и лемматизатора: от неё требуется только распознавание именованных сущностей. Морфологический анализатор pymorphy2 дополняет spaCy детальным морфологическим разбором русских слов: он возвращает полную морфологическую тегировку (часть речи, падеж, число, род и другие характеристики) вместе с вероятностной оценкой каждого варианта разбора, основанной на частотности в корпусах русского языка.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Доля словарных промахов измеряет, какая часть слов перевода помечена библиотекой spaCy как отсутствующая в её встроенном лексиконе. Высокие значения этого признака часто сопровождают тексты с большим количеством опечаток, неологизмов или слов из других языков. Однако необходимо учитывать, что словарный охват модели ru_core_news_sm ограничен, поэтому этот признак следует интерпретировать в совокупности с другими.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Отношение числа уникальных слов к общему числу слов характеризует лексическое разнообразие перевода. Низкие значения могут указывать на монотонность лексики, тавтологию или механический характер перевода. Средняя длина слова является контекстным признаком: для русского языка она в среднем выше, чем для английского, и её аномальное снижение может свидетельствовать о наличии большого числа служебных или иноязычных слов.</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Доля именованных сущностей из исходного текста, сохранённых в переводе, и доля пропущенных сущностей вычисляются через сравнение множеств сущностей, распознанных английской моделью spaCy в оригинале, с текстом перевода. Если именованная сущность — имя человека, название организации, географический объект — найдена в тексте перевода (поиск производится без учёта регистра), она считается сохранённой. Эти два признака являются взаимодополняющими: первый фиксирует положительный сигнал (что сохранено), второй — отрицательный (что потеряно).</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Число ошибок согласования выявляется через анализ синтаксических зависимостей spaCy. Для каждого токена, выступающего в роли подлежащего или согласованного определения, проверяется соответствие его морфологических характеристик (числа, рода, падежа) характеристикам управляющего слова. Несовпадение хотя бы по одной категории фиксируется как ошибка согласования. Синтаксическая глубина дерева разбора измеряет максимальное расстояние от корня дерева до самого удалённого листового токена. Этот признак характеризует синтаксическую сложность перевода: нетипично высокие значения могут указывать на запутанные конструкции, порождённые дословным переводом.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формальности стиля вычисляется через морфологический анализатор pymorphy2 без обращения к каким-либо лексическим словарям. Подсчитывается доля слов, относящихся к морфологически формальным категориям: причастий, деепричастий и отглагольных существительных с характерными суффиксами -ние, -ция, -ость, -ение, -ание. Эти грамматические формы типичны для официально-делового и научного стилей и нетипичны для разговорной речи. Несоответствие стиля исходного текста и перевода является важной проблемой, влияющей на практическую применимость перевода.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Доля морфологических ошибок определяется как доля русских слов, для которых морфологический анализатор pymorphy2 не смог построить ни одного разбора с известной частью речи. Такие слова, как правило, являются либо опечатками, либо несуществующими формами, либо иностранными словами, записанными кириллицей. Этот признак является одним из наиболее прямых сигналов орфографических и грамматических ошибок в тексте перевода.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Доля повторяющихся слов вычисляется по лемматизированным формам: если одна и та же лемма встречается в переводе более одного раза, соответствующие вхождения считаются повторами. Признак нормализован на длину текста. Высокие значения характерны для тавтологичных переводов, в которых машинная система использует одно и то же слово для передачи разных понятий оригинала.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Доля непереведённых слов выявляет фрагменты текста, оставшиеся на исходном языке. Слово считается непереведённым, если оно содержит исключительно латинские буквы, не содержит кириллических символов, его длина превышает два символа и оно не является вероятным именем собственным (коротким словом, начинающимся с заглавной буквы). Доля символов латинского алфавита во всём тексте перевода является более грубым, но вычислительно простым дополнительным сигналом того же явления.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Средний ранг редкости слов вычисляется через вероятностные оценки морфологических разборов pymorphy2. Для каждого слова берётся максимальная вероятность среди всех вариантов разбора, после чего вычисляется отрицательный натуральный логарифм этой вероятности. Полученная величина тем выше, чем менее частотным является слово по оценкам анализатора. Такой подход позволяет получить приближение к частотному рангу слов без обращения к внешним частотным словарям, опираясь только на встроенную статистику pymorphy2.</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2.4. Семантические признаки на основе многоязычных векторных представлений</w:t>
      </w:r>
    </w:p>
    <w:p>
      <w:pPr>
        <w:spacing w:after="0" w:before="0" w:line="360" w:lineRule="auto"/>
        <w:ind w:firstLine="720"/>
        <w:jc w:val="both"/>
      </w:pPr>
      <w:r>
        <w:rPr>
          <w:rFonts w:ascii="Times New Roman" w:cs="Times New Roman" w:eastAsia="Times New Roman" w:hAnsi="Times New Roman"/>
          <w:sz w:val="24"/>
          <w:szCs w:val="24"/>
        </w:rPr>
        <w:t xml:space="preserve">Семантические признаки отражают близость смысла между исходным текстом и его переводом в пространстве высокоразмерных векторных представлений. Они вычисляются с использованием многоязычной модели кодирования предложений LaBSE (Language-agnostic BERT Sentence Embeddings), разработанной исследователями компании Google и опубликованной в открытом доступе.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Модель LaBSE основана на архитектуре BERT с двунаправленным механизмом внимания и дообучена на параллельных корпусах для ста девяти языков мира. Ключевая особенность модели состоит в том, что семантически эквивалентные тексты на разных языках проецируются в близкие точки единого векторного пространства. Это свойство достигается за счёт обучения на задаче максимизации сходства между парами переводов при одновременной минимизации сходства с нерелевантными текстами. Размерность выходного векторного представления составляет 768. Модель принимает на вход текст произвольной длины, ограниченной 512 субтокенами, и возвращает единственный вектор, представляющий всё предложение.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Из пары векторных представлений исходного текста и перевода вычисляются два признака. Косинусное сходство измеряет угол между векторами в их нормализованном пространстве: оно нечувствительно к абсолютным нормам векторов и отражает только направление, то есть тематическую близость. Значение, близкое к единице, означает, что перевод передаёт тот же смысл, что и оригинал; значение ниже 0,8–0,85 для коротких предложений, как правило, указывает на существенное смысловое расхождение или искажение. Евклидово расстояние дополняет косинусное сходство, поскольку учитывает нормы векторов: два текста могут иметь высокое косинусное сходство (одинаковое направление векторов), но различаться по абсолютной позиции в пространстве, что может отражать различия в информационной насыщенности.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Косинусное сходство является одним из наиболее информативных признаков во всём признаковом пространстве системы. Его значение напрямую коррелирует с качеством перевода и одновременно поддаётся интерпретации: низкое значение легко объяснить пользователю как «смысловое расхождение между оригиналом и переводом». Для вычислительной эффективности при обработке больших наборов данных во время обучения реализовано батчевое извлечение: все исходные тексты и переводы кодируются за один вызов модели, что позволяет полностью использовать параллельные вычисления на графическом процессоре.</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2.5. Признаки языковой гладкости на основе языковой модели ruGPT-3</w:t>
      </w:r>
    </w:p>
    <w:p>
      <w:pPr>
        <w:spacing w:after="0" w:before="0" w:line="360" w:lineRule="auto"/>
        <w:ind w:firstLine="720"/>
        <w:jc w:val="both"/>
      </w:pPr>
      <w:r>
        <w:rPr>
          <w:rFonts w:ascii="Times New Roman" w:cs="Times New Roman" w:eastAsia="Times New Roman" w:hAnsi="Times New Roman"/>
          <w:sz w:val="24"/>
          <w:szCs w:val="24"/>
        </w:rPr>
        <w:t xml:space="preserve">Признаки языковой гладкости оценивают, насколько естественно звучит текст перевода с точки зрения авторегрессионной языковой модели для русского языка. Они вычисляются с использованием модели ruGPT-3 Small, разработанной Сбербанком и обученной на корпусах русскоязычных текстов. В отличие от семантических признаков, которые измеряют близость смыслов, признаки гладкости измеряют вероятностную согласованность текста: насколько каждое следующее слово ожидаемо в данном контексте.</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Архитектура GPT-3 принадлежит к классу авторегрессионных трансформерных языковых моделей с однонаправленным механизмом внимания. Модель обучена предсказывать каждый следующий токен по всем предшествующим. Вероятность последовательности токенов раскладывается по формуле цепного правила как произведение условных вероятностей каждого токена при данном предшествующем контексте. Логарифм этой вероятности равен сумме логарифмических вероятностей отдельных токенов, что обеспечивает численную устойчивость вычислений.</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Реализация вычисления пословных вероятностей учитывает, что модель использует байтовое попарное кодирование (BPE) для токенизации, при котором одно слово может быть разбито на несколько субтокенов. Для получения вероятности слова суммируются логарифмические вероятности всех составляющих его субтокенов. Соответствие между субтокенами и словами устанавливается через символьные смещения: для каждого субтокена сохраняются его начальная и конечная позиции в исходном тексте, которые затем сопоставляются с позициями слов, определёнными библиотекой spaCy. Такой подход корректен для слов с пробельными разделителями и устойчив к различиям в схемах токенизации между языковой моделью и морфологическим анализатором.</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Из массива пословных логарифмических вероятностей вычисляются четыре числовых признака. Среднее значение логарифмической вероятности отражает общую предсказуемость текста для языковой модели: чем выше (то есть менее отрицательно) это значение, тем более естественным является текст с точки зрения обученной модели. Удивляемость, или перплексия, вычисляется как экспонента от взятого с обратным знаком среднего логарифмического значения. Перплексия является классической мерой качества языковых моделей и интуитивно интерпретируется как «количество вариантов, из которых модель выбирает следующее слово в среднем». Дисперсия логарифмических вероятностей по словам отражает неравномерность качества текста: если большинство слов имеет нормальную предсказуемость, но одно-два слова — аномально низкую, дисперсия будет высокой при умеренном среднем значении. Минимальная логарифмическая вероятность среди всех слов указывает на наиболее «неожиданное» для модели слово в предложении, которое часто соответствует месту реальной ошибки или неудачной формулировки.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Пословные логарифмические вероятности дополнительно передаются в нейросетевой классификатор ошибочных фрагментов и в систему правил назначения типов ошибок, где они используются как дополнительный сигнал для выявления проблемных слов. Таким образом, вычисление пословных вероятностей является связующим звеном между двумя основными компонентами системы: оценкой качества на уровне предложения и локализацией ошибок на уровне слов.</w:t>
      </w:r>
    </w:p>
    <w:p>
      <w:pPr>
        <w:spacing w:after="160" w:before="0" w:line="360" w:lineRule="auto"/>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sz w:val="26"/>
          <w:szCs w:val="26"/>
        </w:rPr>
        <w:t xml:space="preserve">2.6. Производные признаки</w:t>
      </w:r>
    </w:p>
    <w:p>
      <w:pPr>
        <w:spacing w:after="0" w:before="0" w:line="360" w:lineRule="auto"/>
        <w:ind w:firstLine="720"/>
        <w:jc w:val="both"/>
      </w:pPr>
      <w:r>
        <w:rPr>
          <w:rFonts w:ascii="Times New Roman" w:cs="Times New Roman" w:eastAsia="Times New Roman" w:hAnsi="Times New Roman"/>
          <w:sz w:val="24"/>
          <w:szCs w:val="24"/>
        </w:rPr>
        <w:t xml:space="preserve">Производные признаки кодируют нелинейные взаимодействия между признаками из разных групп. Их мотивация состоит в следующем: отдельные признаки содержат ценную информацию только в сочетании с другими. Например, высокая доля словарных промахов при одновременно низком косинусном сходстве — это значительно более сильный сигнал ошибки, чем каждый из этих признаков по отдельности. Нелинейные модели, такие как градиентный бустинг, теоретически способны выявлять подобные взаимодействия самостоятельно, однако явное включение их в признаковое пространство ускоряет обучение и улучшает интерпретируемость.</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косинусного сходства при нормальной длине вычисляется как произведение косинусного сходства на значение мягкой функции «нормальности» соотношения длин. Такое произведение разделяет два разных сценария низкой оценки: перевод может быть плохим из-за смысловых искажений (низкое косинусное сходство) или из-за того, что он слишком короткий или длинный (плохое соотношение длин). Первый сценарий значительно серьёзнее второго, и данный производный признак помогает модели их различить.</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сглаженной перплексии вычисляется как натуральный логарифм от удвоенной перплексии. Логарифмическое преобразование сжимает диапазон значений и делает признак более устойчивым к выбросам: перплексия может принимать очень большие значения на аномально плохих текстах, что затрудняет обучение без предварительного преобразования. Отношение косинусного сходства к сглаженной перплексии объединяет два измерения качества: высокое значение означает, что перевод одновременно точен по смыслу и естественен по формулировкам, что является признаком высокого качества.</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совместного сигнала именованных сущностей и семантики вычисляется как произведение доли сохранённых сущностей и косинусного сходства. Он особенно важен для предложений, содержащих имена собственные, числа и специальные термины: даже если общий смысл передан верно, потеря конкретного имени или числа может сделать перевод непригодным для практического использования.</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словарных промахов при семантическом сбое вычисляется как произведение доли словарных промахов и разности «единица минус косинусное сходство». Он растёт тогда, когда одновременно присутствуют нетипичные слова и смысловое расхождение — что характерно для переводов с непереведёнными фрагментами или грубыми лексическими ошибками.</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Резкий провал языковой гладкости вычисляется как разность между средней и минимальной логарифмической вероятностями по словам. Большое значение означает, что при нормальном среднем качестве текста в нём есть одно или несколько слов с аномально низкой вероятностью. Этот признак почти всегда соответствует реальной ошибке или неудачной формулировке и является одним из наиболее информативных при диагностике конкретных проблемных мест.</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Признак дисперсии при семантическом сбое объединяет неравномерность языковой гладкости со смысловым расхождением. Нормированная разность длин делит абсолютную разность числа токенов на длину исходного текста, что позволяет корректно сравнивать короткие и длинные предложения. Признак чисел в именованных сущностях является произведением точности числовых значений и доли сохранённых сущностей — он особенно важен для текстов, содержащих числовые данные внутри именованных объектов: дат, номеров и финансовых показателей. Признак стиля при сохранённом смысле, произведение индекса формальности и косинусного сходства, помогает выявлять переводы, в которых смысл передан верно, но регистр речи не соответствует контексту.</w:t>
      </w:r>
    </w:p>
    <w:p>
      <w:pPr>
        <w:spacing w:after="160" w:before="0" w:line="360" w:lineRule="auto"/>
      </w:pPr>
      <w:r>
        <w:rPr>
          <w:rFonts w:ascii="Times New Roman" w:cs="Times New Roman" w:eastAsia="Times New Roman" w:hAnsi="Times New Roman"/>
          <w:sz w:val="24"/>
          <w:szCs w:val="24"/>
        </w:rPr>
        <w:t xml:space="preserve"/>
      </w:r>
    </w:p>
    <w:p>
      <w:pPr>
        <w:spacing w:after="0" w:before="0" w:line="360" w:lineRule="auto"/>
        <w:ind w:firstLine="720"/>
        <w:jc w:val="both"/>
      </w:pPr>
      <w:r>
        <w:rPr>
          <w:rFonts w:ascii="Times New Roman" w:cs="Times New Roman" w:eastAsia="Times New Roman" w:hAnsi="Times New Roman"/>
          <w:sz w:val="24"/>
          <w:szCs w:val="24"/>
        </w:rPr>
        <w:t xml:space="preserve">Все десять производных признаков реализованы в одном программном модуле, который содержит две версии вычислений: для пакетной обработки таблицы данных с использованием библиотеки pandas и для обработки одиночного словаря признаков при инференсе. Обе версии вычисляют одни и те же математические выражения, что гарантирует численно идентичные результаты на этапах обучения и применения системы.</w:t>
      </w:r>
    </w:p>
    <w:p>
      <w:pPr>
        <w:spacing w:after="160" w:before="0" w:line="360" w:lineRule="auto"/>
      </w:pPr>
      <w:r>
        <w:rPr>
          <w:rFonts w:ascii="Times New Roman" w:cs="Times New Roman" w:eastAsia="Times New Roman" w:hAnsi="Times New Roman"/>
          <w:sz w:val="24"/>
          <w:szCs w:val="24"/>
        </w:rPr>
        <w:t xml:space="preserve"/>
      </w:r>
    </w:p>
    <w:sectPr>
      <w:headerReference w:type="default" r:id="rId7"/>
      <w:footerReference w:type="default" r:id="rId8"/>
      <w:pgSz w:w="11906" w:h="16838" w:orient="portrait"/>
      <w:pgMar w:top="1440" w:right="100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color w:val="666666"/>
        <w:sz w:val="20"/>
        <w:szCs w:val="20"/>
      </w:rPr>
      <w:t xml:space="preserve">Отчёт о производственной практике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jc w:val="left"/>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2026-05-17T01:49:28.009Z</dcterms:created>
  <dcterms:modified xsi:type="dcterms:W3CDTF">2026-05-17T01:49:28.009Z</dcterms:modified>
</cp:coreProperties>
</file>

<file path=docProps/custom.xml><?xml version="1.0" encoding="utf-8"?>
<Properties xmlns="http://schemas.openxmlformats.org/officeDocument/2006/custom-properties" xmlns:vt="http://schemas.openxmlformats.org/officeDocument/2006/docPropsVTypes"/>
</file>