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28"/>
          <w:szCs w:val="28"/>
        </w:rPr>
        <w:t xml:space="preserve">3. ОБУЧЕНИЕ МОДЕЛЕЙ ОЦЕНКИ КАЧЕСТВА НА УРОВНЕ ПРЕДЛОЖЕНИЯ</w:t>
      </w:r>
    </w:p>
    <w:p>
      <w:pPr>
        <w:spacing w:after="0" w:before="0" w:line="360" w:lineRule="auto"/>
        <w:ind w:firstLine="720"/>
        <w:jc w:val="both"/>
      </w:pPr>
      <w:r>
        <w:rPr>
          <w:rFonts w:ascii="Times New Roman" w:cs="Times New Roman" w:eastAsia="Times New Roman" w:hAnsi="Times New Roman"/>
          <w:sz w:val="24"/>
          <w:szCs w:val="24"/>
        </w:rPr>
        <w:t xml:space="preserve">Оценка качества перевода на уровне предложения решается как задача регрессии: на вход подаётся признаковый вектор пары «исходный текст — перевод», на выходе требуется получить числовое значение в диапазоне от нуля до единицы, соответствующее нормализованной оценке качества Direct Assessment. Для решения этой задачи в системе реализованы три независимые регрессионные модели: градиентный бустинг над деревьями решений, гребневая регрессия и случайный лес. Каждая из них обучается на одном и том же наборе данных с едиными настройками управления весами примеров, а их предсказания объединяются в итоговую оценку через взвешенный ансамбль. Такой подход обеспечивает устойчивость к ошибкам отдельных моделей и позволяет оценивать неопределённость предсказания.</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3.1. Градиентный бустинг над деревьями решений</w:t>
      </w:r>
    </w:p>
    <w:p>
      <w:pPr>
        <w:spacing w:after="0" w:before="0" w:line="360" w:lineRule="auto"/>
        <w:ind w:firstLine="720"/>
        <w:jc w:val="both"/>
      </w:pPr>
      <w:r>
        <w:rPr>
          <w:rFonts w:ascii="Times New Roman" w:cs="Times New Roman" w:eastAsia="Times New Roman" w:hAnsi="Times New Roman"/>
          <w:sz w:val="24"/>
          <w:szCs w:val="24"/>
        </w:rPr>
        <w:t xml:space="preserve">Градиентный бустинг является основной и наиболее точной моделью в ансамбле. В системе используется реализация XGBoost — эффективная и широко применяемая в задачах машинного обучения библиотека, разработанная Тяньци Ченом и его коллегами и опубликованная в 2016 году. XGBoost реализует алгоритм градиентного бустинга с рядом дополнительных улучшений, обеспечивающих высокую скорость обучения и устойчивость к переобучению.</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Алгоритм градиентного бустинга строит ансамбль деревьев решений последовательно. На каждой итерации добавляется новое дерево, которое обучается предсказывать не целевую переменную, а отрицательный градиент функции потерь по текущим предсказаниям ансамбля. Для задачи регрессии с квадратичной функцией потерь этот градиент совпадает с остатками — разностями между истинными значениями и текущими предсказаниями. Каждое новое дерево добавляется к сумме с коэффициентом темпа обучения, что позволяет делать небольшие корректирующие шаги и избегать переобучения. Итоговое предсказание является суммой предсказаний всех деревьев в ансамбле.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Ключевые гиперпараметры модели подобраны следующим образом. Темп обучения составляет 0,03 — достаточно малое значение, которое требует большого числа итераций, но обеспечивает более плавную сходимость и лучшее обобщение по сравнению с большими темпами. Максимальная глубина каждого дерева ограничена пятью уровнями, что предотвращает запоминание индивидуальных примеров и вынуждает деревья выявлять более общие закономерности. Минимальное число примеров в листовом узле равно пяти, что дополнительно ограничивает переобучение на малочисленных подмножествах данных.</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регуляризации используется несколько механизмов одновременно. Параметр L2-регуляризации весов листьев равен 1,0, параметр L1-регуляризации — 0,05. Введение штрафа за минимальный прирост функции потерь при ветвлении (гамма равна 0,05) гарантирует, что новые ветви добавляются только тогда, когда они существенно улучшают качество. Случайная выборка строк на каждой итерации составляет 80 процентов обучающего набора, а случайная выборка признаков при построении каждого дерева — 70 процентов. Оба механизма вводят случайность, уменьшающую корреляцию между деревьями и снижающую дисперсию ансамбля. Алгоритм построения деревьев использует гистограммный метод (tree_method=hist), который разбивает непрерывные признаки на интервалы и существенно ускоряет обучение по сравнению с точным перебором порогов.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Максимальное число итераций бустинга установлено равным четырём тысячам, однако обучение никогда не достигает этого предела благодаря механизму ранней остановки. Стандартный механизм ранней остановки в XGBoost отслеживает значение функции потерь на валидационном наборе и прекращает обучение, когда оно перестаёт снижаться. Однако функция потерь не является непосредственной целью оптимизации в данной задаче: нас интересует корреляция предсказаний с человеческими оценками, а не абсолютное значение ошибки. По этой причине реализован нестандартный механизм ранней остановки на основе коэффициента корреляции Пирсона.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Пользовательский обратный вызов для ранней остановки реализован как подкласс TrainingCallback из библиотеки XGBoost. После каждой итерации бустинга он вычисляет предсказания текущего ансамбля на валидационном наборе и рассчитывает коэффициент корреляции Пирсона между предсказаниями и истинными значениями. Если коэффициент улучшается более чем на 0,00001 относительно лучшего ранее наблюдавшегося значения, счётчик итераций без улучшения сбрасывается в ноль и обновляется лучший номер итерации. Если в течение ста двадцати последовательных итераций коэффициент не улучшается, обучение прекращается. После завершения обучения модель обрезается до состояния, соответствующего лучшей итерации, что эквивалентно выбору оптимального числа деревьев в ансамбле.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Коэффициент корреляции Пирсона измеряет линейную зависимость между двумя числовыми рядами и принимает значения от -1 до 1, где 1 означает идеальную положительную линейную корреляцию. В контексте оценки качества машинного перевода этот коэффициент показывает, насколько согласованно ранжируют переводы автоматическая система и аннотаторы. Оптимизация по коэффициенту Пирсона, а не по квадратичной ошибке, позволяет модели концентрироваться на правильном относительном ранжировании переводов, что является более важным для практических применений, чем минимизация абсолютных отклонений оценок.</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3.2. Гребневая регрессия</w:t>
      </w:r>
    </w:p>
    <w:p>
      <w:pPr>
        <w:spacing w:after="0" w:before="0" w:line="360" w:lineRule="auto"/>
        <w:ind w:firstLine="720"/>
        <w:jc w:val="both"/>
      </w:pPr>
      <w:r>
        <w:rPr>
          <w:rFonts w:ascii="Times New Roman" w:cs="Times New Roman" w:eastAsia="Times New Roman" w:hAnsi="Times New Roman"/>
          <w:sz w:val="24"/>
          <w:szCs w:val="24"/>
        </w:rPr>
        <w:t xml:space="preserve">Гребневая регрессия является простейшей и наиболее интерпретируемой моделью в составе ансамбля. Она представляет собой линейную регрессию с L2-регуляризацией, которая штрафует за большие значения весовых коэффициентов. Целевая функция имеет вид: минимизировать сумму квадратов остатков плюс произведение параметра регуляризации на сумму квадратов весов. Такой штраф не обнуляет веса (в отличие от L1-регуляризации в лассо-регрессии), а равномерно уменьшает их, что приводит к распределению влияния между коррелирующими признаками.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Параметр регуляризации установлен равным 2,0. Это значение было выбрано на основании баланса между точностью на валидационном наборе и устойчивостью модели: при слишком малом значении параметра модель переобучается на особенностях конкретного обучающего набора, при слишком большом — недообучается, недостаточно улавливая реальные закономерности. Гребневая регрессия решает задачу аналитически, без итеративной оптимизации, что делает её обучение мгновенным по сравнению с градиентным бустингом.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Главная ценность гребневой регрессии в ансамбле состоит не столько в точности предсказаний, сколько в механизме объяснений. Поскольку модель линейна, вклад каждого признака в предсказание вычисляется тривиально: он равен произведению значения признака на соответствующий весовой коэффициент. Это позволяет получить прозрачное, легко проверяемое объяснение без применения специализированных методов анализа. Кроме того, линейная модель более устойчива к значительным выбросам в значениях признаков и может давать лучшие результаты на примерах, сильно отличающихся от обучающего распределения.</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3.3. Случайный лес</w:t>
      </w:r>
    </w:p>
    <w:p>
      <w:pPr>
        <w:spacing w:after="0" w:before="0" w:line="360" w:lineRule="auto"/>
        <w:ind w:firstLine="720"/>
        <w:jc w:val="both"/>
      </w:pPr>
      <w:r>
        <w:rPr>
          <w:rFonts w:ascii="Times New Roman" w:cs="Times New Roman" w:eastAsia="Times New Roman" w:hAnsi="Times New Roman"/>
          <w:sz w:val="24"/>
          <w:szCs w:val="24"/>
        </w:rPr>
        <w:t xml:space="preserve">Случайный лес представляет собой ансамбль деревьев решений, каждое из которых обучается на случайной выборке обучающих примеров с возвращением (бутстрэп-выборке) и при построении каждого разбиения рассматривает случайное подмножество признаков. Предсказание ансамбля вычисляется как среднее предсказаний всех деревьев. Введение двойной случайности — по примерам и по признакам — уменьшает корреляцию между отдельными деревьями и тем самым снижает дисперсию итогового предсказания.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 системе обучается ансамбль из четырёхсот деревьев. Максимальная глубина каждого дерева ограничена четырнадцатью уровнями. Минимальное число примеров в листе равно двум, что позволяет деревьям строить достаточно детализированные разбиения, не доводя их до полного запоминания отдельных примеров. Обучение всех деревьев выполняется параллельно с использованием всех доступных процессорных ядер.</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Случайный лес выполняет в ансамбле особую функцию, недоступную двум другим моделям: он является единственной из трёх, позволяющей получить прямую оценку неопределённости предсказания. Поскольку ансамбль состоит из четырёхсот независимо обученных деревьев, их предсказания для одного и того же примера можно рассматривать как выборку из распределения предсказаний. Стандартное отклонение этой выборки служит мерой неопределённости: если деревья согласны друг с другом, стандартное отклонение мало; если их предсказания сильно расходятся, неопределённость высока. Доверительный интервал вычисляется как предсказание плюс-минус 1,96 стандартных отклонения, что соответствует приблизительному 95-процентному интервалу при нормальном распределении.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3.4. Управление весами примеров при обучении</w:t>
      </w:r>
    </w:p>
    <w:p>
      <w:pPr>
        <w:spacing w:after="0" w:before="0" w:line="360" w:lineRule="auto"/>
        <w:ind w:firstLine="720"/>
        <w:jc w:val="both"/>
      </w:pPr>
      <w:r>
        <w:rPr>
          <w:rFonts w:ascii="Times New Roman" w:cs="Times New Roman" w:eastAsia="Times New Roman" w:hAnsi="Times New Roman"/>
          <w:sz w:val="24"/>
          <w:szCs w:val="24"/>
        </w:rPr>
        <w:t xml:space="preserve">Все три модели обучаются с поддержкой индивидуальных весов примеров, что позволяет гибко управлять вкладом различных типов данных в процесс оптимизации. Веса назначаются по двум независимым критериям, применяемым последовательно.</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Первый критерий — принадлежность примера к синтетически сгенерированным данным. Все синтетические примеры получают весовой коэффициент 0,12, тогда как реальные примеры из набора Direct Assessment имеют вес 1,0. Такое соотношение означает, что один реальный пример эквивалентен примерно восьми синтетическим по своему вкладу в функцию потерь. Это значение было выбрано как компромисс: при слишком высоком весе синтетических примеров модель смещается в сторону предсказания низких оценок для текстов, поверхностно похожих на синтетические негативы; при слишком низком весе синтетические примеры практически не влияют на обучение.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Помимо весов, доля синтетических примеров в каждой обучающей выборке дополнительно ограничивается подвыборкой: из синтетических примеров случайным образом отбирается только тридцать процентов. Это означает, что даже до применения весов синтетические примеры составляют не более тридцати процентов обучающего набора, а с учётом весов их эффективная доля оказывается ещё меньше. Такой двухуровневый контроль обеспечивает, что синтетические данные улучшают распознавание плохих переводов, не доминируя при этом над реальной разметкой.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Второй критерий — значение нормализованной оценки. Примеры с оценкой ниже порогового значения 0,15 (соответствующего переводам очень низкого качества в нижних пятнадцати процентах распределения) могли бы получать повышенный вес. Однако в текущей конфигурации весовой коэффициент для таких примеров установлен равным 1,0, то есть они не дополнительно взвешиваются. Этот механизм предусмотрен в архитектуре системы и может быть активирован при необходимости улучшить распознавание особенно плохих переводов.</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3.5. Ансамблирование моделей и оценка неопределённости</w:t>
      </w:r>
    </w:p>
    <w:p>
      <w:pPr>
        <w:spacing w:after="0" w:before="0" w:line="360" w:lineRule="auto"/>
        <w:ind w:firstLine="720"/>
        <w:jc w:val="both"/>
      </w:pPr>
      <w:r>
        <w:rPr>
          <w:rFonts w:ascii="Times New Roman" w:cs="Times New Roman" w:eastAsia="Times New Roman" w:hAnsi="Times New Roman"/>
          <w:sz w:val="24"/>
          <w:szCs w:val="24"/>
        </w:rPr>
        <w:t xml:space="preserve">Итоговая оценка качества перевода вычисляется как взвешенное среднее предсказаний трёх моделей. Весовые коэффициенты установлены следующим образом: градиентный бустинг получает вес 0,45, случайный лес — 0,35, гребневая регрессия — 0,20. Такое распределение отражает эмпирически наблюдаемую точность моделей: градиентный бустинг систематически показывает наилучшую корреляцию с человеческими оценками, случайный лес занимает второе место, а гребневая регрессия как простейшая из трёх имеет наименьший вес. При этом её присутствие в ансамбле повышает устойчивость итоговой оценки к случайным выбросам.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Если одна или несколько моделей недоступны (например, не были обучены или файл модели отсутствует), веса оставшихся моделей автоматически нормализуются так, чтобы их сумма оставалась равной единице. Это обеспечивает работоспособность системы в любой конфигурации: даже с единственной доступной моделью она возвращает корректную оценку, а не завершает работу с ошибкой.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Аналогичным образом ансамблируются SHAP-объяснения: для каждого признака взвешенное среднее его вкладов по всем моделям вычисляется с теми же коэффициентами. Такой подход гарантирует, что объяснение итоговой оценки ансамбля согласовано с объяснениями отдельных моделей и не вводит пользователя в заблуждение.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каждой оценки вычисляются мера неопределённости и доверительный интервал. Для градиентного бустинга и гребневой регрессии применяется аппроксимация на основе бета-распределения. Параметры бета-распределения определяются из точечной оценки через концентрацию: при значении концентрации 10,0 параметры альфа и бета вычисляются как произведения оценки и разности единицы и оценки на коэффициент концентрации. Дисперсия бета-распределения с такими параметрами служит мерой неопределённости, а квантили порядка 0,025 и 0,975 — нижней и верхней границами 95-процентного доверительного интервала. Для случайного леса неопределённость вычисляется напрямую из разброса предсказаний деревьев, как описано в разделе 3.3. Итоговая неопределённость ансамбля вычисляется как взвешенное среднее неопределённостей отдельных моделей с теми же коэффициентами.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Наряду с оценкой ансамбля пользователю отображаются индивидуальные оценки всех трёх моделей. Это позволяет оценить согласованность моделей: если все три дают близкие значения, итоговая оценка надёжна; если их предсказания существенно расходятся, это сигнал высокой неопределённости, которую численная мера может не полностью отразить.</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3.6. Метод SHAP и получение объяснений оценки</w:t>
      </w:r>
    </w:p>
    <w:p>
      <w:pPr>
        <w:spacing w:after="0" w:before="0" w:line="360" w:lineRule="auto"/>
        <w:ind w:firstLine="720"/>
        <w:jc w:val="both"/>
      </w:pPr>
      <w:r>
        <w:rPr>
          <w:rFonts w:ascii="Times New Roman" w:cs="Times New Roman" w:eastAsia="Times New Roman" w:hAnsi="Times New Roman"/>
          <w:sz w:val="24"/>
          <w:szCs w:val="24"/>
        </w:rPr>
        <w:t xml:space="preserve">Для объяснения предсказаний моделей применяется метод SHAP (SHapley Additive exPlanations), разработанный Скоттом Лундбергом и Су-Ин Ли в 2017 году. Метод основан на теоретическом аппарате кооперативной теории игр и предлагает единственное с точки зрения ряда аксиом справедливое распределение «вклада» каждого признака в предсказание модели. Значения Шепли для игрока в кооперативной игре определяются как его средний предельный вклад по всем возможным коалициям остальных игроков. Перенесённые на задачу интерпретации моделей машинного обучения, значения SHAP показывают, насколько каждый признак изменяет предсказание модели относительно среднего по обучающим данным.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деревянных ансамблей — градиентного бустинга и случайного леса — применяется специализированный алгоритм TreeExplainer, разработанный в составе библиотеки SHAP. Его вычислительная сложность полиномиальна по числу листьев в дереве, а не экспоненциальна по числу признаков, как у наивного перебора коалиций. Это делает применение метода практически возможным для деревьев умеренной глубины. TreeExplainer вычисляет точные значения Шепли для деревянных моделей, используя рекурсивный обход дерева и накопление вкладов на каждом узле разбиения.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 этапе сохранения модели объект TreeExplainer сохраняется вместе с обученной моделью в едином файле-архиве. При инференсе он загружается из файла и применяется для вычисления значений SHAP для каждого нового примера. Значения SHAP представляют собой вектор той же размерности, что и признаковый вектор: каждый элемент показывает вклад соответствующего признака в отклонение предсказания от среднего по обучающим данным. Положительное значение означает, что признак увеличивает оценку качества, отрицательное — что снижает.</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Исходные значения SHAP привязаны к отдельным признакам и представляют собой массив из сорока трёх чисел. Для представления пользователю они агрегируются по категориям MQM через заранее заданное соответствие каждого признака одной из пяти категорий: точность передачи смысла, языковая грамотность, терминология, локализация и стиль. Несколько контекстных признаков (длина исходного текста, длина перевода, средняя длина слова) не относятся ни к одной категории и исключаются из объяснения. Вклады всех признаков одной категории суммируются, что даёт компактное и понятное пользователю объяснение: «смысловая точность снижает оценку на X процентных пунктов, языковая грамотность — на Y».</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интерфейса пользователя объяснение дополнительно преобразуется в «доли потери»: из всех значений SHAP отбираются только отрицательные (то есть снижающие оценку) и их абсолютные значения нормализуются так, чтобы в сумме они составляли 100 процентов от расстояния между полученной оценкой и идеальной оценкой в единицу. Это позволяет интерпретировать объяснение следующим образом: «из 35 процентных пунктов, на которые перевод не дотягивает до идеального, 60 процентов объясняются проблемами со смысловой точностью и 40 процентов — языковой грамотностью». Категории с долей ниже 0,5 процента отбрасываются как незначительные, оставшиеся перенормируются.</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3.7. Оценка моделей и внешнее тестирование</w:t>
      </w:r>
    </w:p>
    <w:p>
      <w:pPr>
        <w:spacing w:after="0" w:before="0" w:line="360" w:lineRule="auto"/>
        <w:ind w:firstLine="720"/>
        <w:jc w:val="both"/>
      </w:pPr>
      <w:r>
        <w:rPr>
          <w:rFonts w:ascii="Times New Roman" w:cs="Times New Roman" w:eastAsia="Times New Roman" w:hAnsi="Times New Roman"/>
          <w:sz w:val="24"/>
          <w:szCs w:val="24"/>
        </w:rPr>
        <w:t xml:space="preserve">Качество моделей измеряется несколькими метриками. Коэффициент линейной корреляции Пирсона между предсказаниями и истинными оценками является основной метрикой, поскольку она напрямую оптимизируется в механизме ранней остановки градиентного бустинга. Коэффициент ранговой корреляции Спирмена более устойчив к выбросам и измеряет согласованность ранжирования: насколько правильно модель упорядочивает переводы от лучших к худшим. Средняя абсолютная ошибка и среднеквадратичная ошибка дополнительно характеризуют абсолютную точность предсказаний в единицах нормализованной шкалы оценок.</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Помимо оценки на тестовой части набора Direct Assessment, каждая модель проходит внешнее тестирование на наборе MQM, что позволяет проверить обобщающую способность на данных с принципиально иной методологией разметки. Оценки MQM представляют собой штрафные значения с отрицательной шкалой и несопоставимы с нормализованными оценками DA напрямую. Поэтому перед вычислением корреляции оценки MQM нормализуются: если набор содержит информацию о конкретных системах машинного перевода, нормализация выполняется отдельно внутри каждой системы через Z-преобразование (вычитание среднего и деление на стандартное отклонение); иначе применяется глобальное Z-преобразование. На нормализованных оценках MQM вычисляется ранговая корреляция Спирмена с предсказаниями модели, которая и является мерой качества при внешнем тестировании.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Дополнительно на внешнем тесте вычисляется корреляция на экстремальных примерах: только на нижних пятнадцати и верхних пятнадцати процентах распределения оценок MQM. Это позволяет оценить, насколько хорошо модель различает очень плохие и очень хорошие переводы — практически важная способность, поскольку именно для таких случаев решение о необходимости постредактуры наиболее очевидно.</w:t>
      </w:r>
    </w:p>
    <w:p>
      <w:pPr>
        <w:spacing w:after="160" w:before="0"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2026-05-17T13:56:07.304Z</dcterms:created>
  <dcterms:modified xsi:type="dcterms:W3CDTF">2026-05-17T13:56:07.316Z</dcterms:modified>
</cp:coreProperties>
</file>

<file path=docProps/custom.xml><?xml version="1.0" encoding="utf-8"?>
<Properties xmlns="http://schemas.openxmlformats.org/officeDocument/2006/custom-properties" xmlns:vt="http://schemas.openxmlformats.org/officeDocument/2006/docPropsVTypes"/>
</file>