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sz w:val="28"/>
          <w:szCs w:val="28"/>
        </w:rPr>
        <w:t xml:space="preserve">4. НЕЙРОСЕТЕВОЙ КЛАССИФИКАТОР ОШИБОЧНЫХ ФРАГМЕНТОВ</w:t>
      </w:r>
    </w:p>
    <w:p>
      <w:pPr>
        <w:spacing w:after="0" w:before="0" w:line="360" w:lineRule="auto"/>
        <w:ind w:firstLine="720"/>
        <w:jc w:val="both"/>
      </w:pPr>
      <w:r>
        <w:rPr>
          <w:rFonts w:ascii="Times New Roman" w:cs="Times New Roman" w:eastAsia="Times New Roman" w:hAnsi="Times New Roman"/>
          <w:sz w:val="24"/>
          <w:szCs w:val="24"/>
        </w:rPr>
        <w:t xml:space="preserve">Оценка качества на уровне предложения сообщает пользователю, насколько хорош перевод в целом, но не указывает, в каком именно месте текста сосредоточена проблема. Для решения этой задачи в системе реализован второй ключевой компонент — нейросетевой классификатор ошибочных фрагментов. Его цель состоит в том, чтобы для каждого слова машинного перевода предсказать одну из трёх меток: слово корректно, слово содержит незначительную ошибку или слово содержит существенную ошибку. Смежные слова с ошибочными метками объединяются в непрерывные фрагменты — спаны, — которые отображаются пользователю с цветовой подсветкой непосредственно в тексте перевода.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Задача является разновидностью задачи классификации токенов — одной из стандартных задач обработки естественного языка, для которых трансформерные архитектуры показывают наилучшие результаты. Особенность данной постановки состоит в том, что для принятия решения о каждом слове перевода необходим одновременный контекст как самого перевода, так и исходного текста: только имея доступ к оригиналу, можно определить, является ли данное слово ошибочным или нет. Это обусловило выбор двуязычной модели, принимающей на вход конкатенацию исходного текста и перевода.</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4.1. Архитектура базовой модели XLM-RoBERTa</w:t>
      </w:r>
    </w:p>
    <w:p>
      <w:pPr>
        <w:spacing w:after="0" w:before="0" w:line="360" w:lineRule="auto"/>
        <w:ind w:firstLine="720"/>
        <w:jc w:val="both"/>
      </w:pPr>
      <w:r>
        <w:rPr>
          <w:rFonts w:ascii="Times New Roman" w:cs="Times New Roman" w:eastAsia="Times New Roman" w:hAnsi="Times New Roman"/>
          <w:sz w:val="24"/>
          <w:szCs w:val="24"/>
        </w:rPr>
        <w:t xml:space="preserve">В качестве базовой модели выбрана XLM-RoBERTa (Cross-lingual Language Model — Robustly Optimized BERT Pretraining Approach), разработанная исследователями компании Facebook AI Research и опубликованная в 2019 году. Модель является многоязычным расширением архитектуры RoBERTa — улучшенной версии BERT, — адаптированным для обработки текстов на ста четырёх языках мира.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Архитектура трансформера, лежащая в основе модели, была предложена Эшишем Васвани и коллегами в 2017 году. Её ключевым механизмом является механизм самовнимания: каждый токен последовательности выражается как взвешенная сумма представлений всех остальных токенов, где веса определяются попарной совместимостью токенов. В отличие от рекуррентных сетей, трансформер обрабатывает все токены параллельно, что обеспечивает эффективное использование современных графических процессоров и позволяет моделировать дальние зависимости без деградации сигнала, характерной для рекуррентных архитектур.</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Архитектура BERT добавляет к трансформеру двунаправленность: каждый токен строит своё представление с учётом как левого, так и правого контекста одновременно. Это достигается за счёт предобучения с маскированием: случайные токены заменяются специальным символом, и модель учится восстанавливать их по контексту. RoBERTa улучшает схему предобучения BERT за счёт увеличения числа обучающих примеров, более крупных пакетов и динамического маскирования, при котором набор маскированных токенов меняется от эпохи к эпохе.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XLM-RoBERTa обучалась на корпусе CommonCrawl общим объёмом 2,5 триллиона символов, охватывающем тексты на ста четырёх языках. Такой масштаб предобучения обеспечивает модели богатые многоязычные представления, в которых семантически эквивалентные конструкции разных языков имеют схожие векторные представления. Это свойство критически важно для задачи оценки качества перевода, где модель должна сопоставлять элементы текста на двух разных языках.</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 системе используется версия модели xlm-roberta-base, содержащая двенадцать слоёв трансформера с шириной скрытого состояния 768 и двенадцатью головами механизма внимания в каждом слое. Общее число параметров базовой версии составляет около 270 миллионов. Для решения задачи классификации токенов поверх базовой модели добавляется линейная классификационная голова — полносвязный слой без нелинейной активации, преобразующий 768-мерное представление каждого токена в вектор из трёх логитов, соответствующих трём классам меток.</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4.2. Схема токенизации и распределение бюджета контекста</w:t>
      </w:r>
    </w:p>
    <w:p>
      <w:pPr>
        <w:spacing w:after="0" w:before="0" w:line="360" w:lineRule="auto"/>
        <w:ind w:firstLine="720"/>
        <w:jc w:val="both"/>
      </w:pPr>
      <w:r>
        <w:rPr>
          <w:rFonts w:ascii="Times New Roman" w:cs="Times New Roman" w:eastAsia="Times New Roman" w:hAnsi="Times New Roman"/>
          <w:sz w:val="24"/>
          <w:szCs w:val="24"/>
        </w:rPr>
        <w:t xml:space="preserve">Входная последовательность для модели формируется из исходного текста и машинного перевода по схеме: специальный токен начала последовательности, токены исходного текста, специальный токен разделителя, токены перевода, специальный токен конца последовательности. Такая схема, использующая два специальных токена-разделителя, стандартна для двуязычных задач в трансформерных моделях и позволяет модели явно различать сегменты двух языков.</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Максимальная длина входной последовательности ограничена 512 токенами — стандартным ограничением архитектуры BERT и её производных, обусловленным квадратичной вычислительной сложностью механизма самовнимания. С учётом трёх служебных токенов для содержательных токенов доступно 509 позиций. Этот бюджет распределяется между исходным текстом и переводом асимметрично: исходный текст получает одну треть бюджета, то есть не более 169 токенов, а перевод — две трети, то есть до 340 токенов. Такое распределение отражает приоритеты задачи: классификационные метки назначаются словам перевода, поэтому важнее сохранить как можно больший контекст именно для него. Исходный текст предоставляет лишь опорный контекст для принятия решений.</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Токенизация выполняется алгоритмом SentencePiece, который реализует разбиение на подслова на основе модели униграммного языка. В отличие от байтового попарного кодирования, SentencePiece работает непосредственно с байтовыми представлениями символов и не требует предварительной токенизации по пробелам, что делает его применимым к языкам без явных пробельных разделителей слов. Для русского языка, имеющего богатую морфологию, одно слово может быть разбито на несколько субтокенов в зависимости от его частотности в обучающем корпусе: частые слова представлены единственным токеном, редкие — несколькими.</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4.3. Стратегия маппинга субтокенов на слова</w:t>
      </w:r>
    </w:p>
    <w:p>
      <w:pPr>
        <w:spacing w:after="0" w:before="0" w:line="360" w:lineRule="auto"/>
        <w:ind w:firstLine="720"/>
        <w:jc w:val="both"/>
      </w:pPr>
      <w:r>
        <w:rPr>
          <w:rFonts w:ascii="Times New Roman" w:cs="Times New Roman" w:eastAsia="Times New Roman" w:hAnsi="Times New Roman"/>
          <w:sz w:val="24"/>
          <w:szCs w:val="24"/>
        </w:rPr>
        <w:t xml:space="preserve">Поскольку классификационные метки в обучающих данных назначены на уровне слов, а модель оперирует субтокенами, необходим механизм соответствия между этими двумя уровнями. В системе реализована стратегия первого субтокена: метка слова назначается первому субтокену, на который это слово было разбито при токенизации, а все последующие субтокены того же слова получают специальный игнорируемый индекс. При вычислении функции потерь позиции с игнорируемым индексом полностью исключаются из расчёта, что позволяет избежать многократного учёта одного и того же слова через его субтокены.</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Соответствие субтокенов словам устанавливается через символьные смещения. При токенизации для каждого субтокена сохраняются начальная и конечная позиции в символах относительно исходного текста. Для каждого слова перевода определяются аналогичные символьные границы путём последовательного поиска слова в тексте. Субтокен относится к данному слову, если его символьный диапазон полностью находится внутри символьного диапазона слова. Среди всех субтокенов, принадлежащих одному слову, только первый получает реальную метку — остальные маркируются как игнорируемые.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Этот подход корректен для всех слов, отделённых пробелами, что покрывает подавляющее большинство случаев в русском языке. Токены с нулевыми символьными смещениями (у которых начало и конец совпадают) интерпретируются как служебные токены алгоритма SentencePiece и также получают игнорируемый индекс. Аналогичная логика применяется как на этапе обучения при подготовке обучающих примеров, так и на этапе инференса при декодировании предсказаний модели в пословные метки.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Все токены исходного текста, а также специальные токены начала и конца последовательности и разделительный токен получают игнорируемый индекс в обоих случаях: при обучении — чтобы не включать их в функцию потерь, при инференсе — чтобы не использовать их предсказания при формировании пословных меток перевода.</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4.4. Взвешенная функция потерь</w:t>
      </w:r>
    </w:p>
    <w:p>
      <w:pPr>
        <w:spacing w:after="0" w:before="0" w:line="360" w:lineRule="auto"/>
        <w:ind w:firstLine="720"/>
        <w:jc w:val="both"/>
      </w:pPr>
      <w:r>
        <w:rPr>
          <w:rFonts w:ascii="Times New Roman" w:cs="Times New Roman" w:eastAsia="Times New Roman" w:hAnsi="Times New Roman"/>
          <w:sz w:val="24"/>
          <w:szCs w:val="24"/>
        </w:rPr>
        <w:t xml:space="preserve">Обучающие данные WMT21 существенно несбалансированы по классам: большинство слов машинного перевода корректны и получают метку «OK», тогда как ошибочные слова встречаются значительно реже, а слова с существенными ошибками составляют наименьшую долю. При использовании стандартной функции потерь без поправки модель будет склонна предсказывать метку «OK» для большинства слов, получая при этом хорошее среднее значение потерь за счёт точных предсказаний на многочисленном большинстве. Это делает модель практически бесполезной для выявления ошибок.</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Для устранения дисбаланса применяется взвешенная перекрёстная энтропия: каждому классу назначается весовой коэффициент, обратно пропорциональный его относительной частоте. Конкретные значения весов установлены следующим образом: класс «OK» получает вес 1,0, класс «BAD-minor» — вес 2,0, класс «BAD-major» — вес 5,0. Это означает, что каждое слово с существенной ошибкой вносит в значение функции потерь вклад, в пять раз превышающий вклад корректного слова. Такое соотношение весов вынуждает модель уделять значительно больше внимания правильному распознаванию существенных ошибок, даже ценой некоторого снижения точности на классе «OK».</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Функция потерь реализована как перекрёстная энтропия с передачей весовых коэффициентов в виде тензора. Веса регистрируются как буфер модели и автоматически переносятся на то вычислительное устройство (центральный или графический процессор), которое используется при обучении. Позиции с игнорируемым индексом исключаются из суммирования при вычислении функции потерь. Для вычисления потерь логиты всей последовательности и метки развёртываются в одномерные тензоры, что обеспечивает корректную работу взвешенной функции потерь независимо от размера пакета и длины последовательности.</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4.5. Процедура дообучения</w:t>
      </w:r>
    </w:p>
    <w:p>
      <w:pPr>
        <w:spacing w:after="0" w:before="0" w:line="360" w:lineRule="auto"/>
        <w:ind w:firstLine="720"/>
        <w:jc w:val="both"/>
      </w:pPr>
      <w:r>
        <w:rPr>
          <w:rFonts w:ascii="Times New Roman" w:cs="Times New Roman" w:eastAsia="Times New Roman" w:hAnsi="Times New Roman"/>
          <w:sz w:val="24"/>
          <w:szCs w:val="24"/>
        </w:rPr>
        <w:t xml:space="preserve">Дообучение предобученной модели XLM-RoBERTa на данных WMT21 выполняется в рамках стандартного подхода переноса обучения. Все параметры базовой модели участвуют в обновлении градиентным спуском; отдельного замораживания слоёв не применяется. Классификационная голова инициализируется случайными весами и обучается совместно с базовой моделью.</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 качестве оптимизатора применяется AdamW — вариант алгоритма Adam с декуплированной регуляризацией весов, предложенный Ильей Лошиловым и Франком Хуттером в 2019 году. В отличие от стандартного Adam, где регуляризация L2 встроена в обновление адаптивного момента и фактически применяется неравномерно, в AdamW штраф за веса добавляется непосредственно к обновлению параметров. Это обеспечивает более корректную регуляризацию и, как показывают эксперименты, улучшает обобщающую способность при дообучении трансформерных моделей. Значение параметра регуляризации весов установлено равным 0,01.</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Темп обучения установлен равным 0,00002, что является типичным значением для дообучения трансформерных моделей крупного масштаба. Слишком высокий темп обучения разрушает предобученные представления, слишком низкий — замедляет адаптацию к новой задаче. Для управления темпом обучения применяется линейный планировщик с прогревом: в течение первых десяти процентов от общего числа шагов обучения темп линейно возрастает от нуля до целевого значения, после чего линейно убывает до нуля к последнему шагу. Фаза прогрева предотвращает нестабильность на ранних итерациях, когда классификационная голова ещё не инициализирована должным образом и её большие градиенты могут дестабилизировать предобученные слои.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На каждом шаге обучения норма вектора градиентов ограничивается значением 1,0 с помощью операции обрезки градиентов. Обрезка градиентов является стандартной практикой при дообучении крупных языковых моделей и предотвращает редкие, но разрушительные выбросы градиентов, возникающие при обработке аномальных примеров.</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Обучение ведётся в течение пяти эпох с размером пакета 16 примеров. При вычислении функции потерь и при оценке на валидационном наборе размер пакета удваивается, поскольку в режиме оценки не требуется хранить промежуточные активации для обратного прохода. Загрузка данных реализована с двумя параллельными рабочими процессами и закреплением памяти при использовании графического процессора, что минимизирует время ожидания между пакетами.</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4.6. Ранняя остановка по метрике F1 для существенных ошибок</w:t>
      </w:r>
    </w:p>
    <w:p>
      <w:pPr>
        <w:spacing w:after="0" w:before="0" w:line="360" w:lineRule="auto"/>
        <w:ind w:firstLine="720"/>
        <w:jc w:val="both"/>
      </w:pPr>
      <w:r>
        <w:rPr>
          <w:rFonts w:ascii="Times New Roman" w:cs="Times New Roman" w:eastAsia="Times New Roman" w:hAnsi="Times New Roman"/>
          <w:sz w:val="24"/>
          <w:szCs w:val="24"/>
        </w:rPr>
        <w:t xml:space="preserve">Механизм ранней остановки отслеживает метрику F1 для класса «BAD-major» на валидационном наборе. Метрика F1 является гармоническим средним точности и полноты: точность показывает, какая доля предсказанных позиций с меткой «BAD-major» действительно является таковой, полнота — какая доля реальных позиций с меткой «BAD-major» была правильно распознана. Оптимизация F1, а не точности функции потерь, позволяет напрямую улучшать способность модели выявлять наиболее серьёзные ошибки.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После каждой эпохи значение F1(BAD-major) на валидационном наборе сравнивается с лучшим ранее наблюдавшимся значением. Если новое значение превосходит лучшее более чем на 0,0001, текущее состояние модели сохраняется на диск в формате Hugging Face, счётчик эпох без улучшения сбрасывается. В противном случае счётчик увеличивается. Если в течение трёх последовательных эпох метрика не улучшается, обучение прекращается. По завершении обучения для финального тестирования загружается именно сохранённое состояние с наилучшим значением F1(BAD-major), а не состояние последней эпохи.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Выбор метрики F1(BAD-major) в качестве критерия ранней остановки отражает приоритеты системы. Пропуск существенной ошибки (ложноотрицательный результат для класса «BAD-major») значительно хуже для пользователя, чем ложное срабатывание на корректном слове: в первом случае пользователь не получает предупреждение о реальной проблеме, во втором — получает лишнее предупреждение, которое он может проигнорировать. Оптимизируя F1(BAD-major), модель обучается балансировать между этими двумя типами ошибок, отдавая приоритет выявлению существенных проблем.</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4.7. Инференс: пороги классификации и группировка фрагментов</w:t>
      </w:r>
    </w:p>
    <w:p>
      <w:pPr>
        <w:spacing w:after="0" w:before="0" w:line="360" w:lineRule="auto"/>
        <w:ind w:firstLine="720"/>
        <w:jc w:val="both"/>
      </w:pPr>
      <w:r>
        <w:rPr>
          <w:rFonts w:ascii="Times New Roman" w:cs="Times New Roman" w:eastAsia="Times New Roman" w:hAnsi="Times New Roman"/>
          <w:sz w:val="24"/>
          <w:szCs w:val="24"/>
        </w:rPr>
        <w:t xml:space="preserve">На этапе инференса модель возвращает для каждого токена входной последовательности вектор из трёх логитов. Применение функции размягчённого максимума (softmax) к этим логитам преобразует их в вероятности принадлежности к каждому классу. Для принятия решения о метке слова суммируются вероятности двух ошибочных классов — незначительной и существенной ошибки. Если эта суммарная вероятность превышает порог классификации для ошибочных слов (по умолчанию 0,45), слово признаётся ошибочным. Из числа ошибочных слов те, для которых вероятность класса «BAD-major» превышает отдельный порог (по умолчанию 0,60), получают метку «BAD-major»; остальные — «BAD-minor».</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Использование двух отдельных порогов вместо простого аргументума максимума позволяет гибко управлять чувствительностью системы. Значения порогов загружаются из файла конфигурации при наличии такового, иначе из переменных окружения, иначе применяются значения по умолчанию. Такая иерархия источников позволяет настраивать пороги без изменения кода и перекомпиляции.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После получения пословных меток смежные слова с ошибочными метками объединяются в непрерывные фрагменты. Если несколько последовательных слов подряд помечены как ошибочные, они образуют один фрагмент. Степень серьёзности фрагмента определяется по наихудшему значению среди всех входящих в него слов: если хотя бы одно слово имеет метку «BAD-major», весь фрагмент получает оценку «BAD-major». Уверенность фрагмента определяется по суммарной вероятности ошибки для первого слова фрагмента.</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4.8. Фильтрация ложных срабатываний с использованием языковой модели</w:t>
      </w:r>
    </w:p>
    <w:p>
      <w:pPr>
        <w:spacing w:after="0" w:before="0" w:line="360" w:lineRule="auto"/>
        <w:ind w:firstLine="720"/>
        <w:jc w:val="both"/>
      </w:pPr>
      <w:r>
        <w:rPr>
          <w:rFonts w:ascii="Times New Roman" w:cs="Times New Roman" w:eastAsia="Times New Roman" w:hAnsi="Times New Roman"/>
          <w:sz w:val="24"/>
          <w:szCs w:val="24"/>
        </w:rPr>
        <w:t xml:space="preserve">Нейросетевой классификатор может давать ложные срабатывания — помечать как ошибочные слова, которые в действительности корректны. Для снижения числа таких случаев реализован дополнительный механизм фильтрации на основе пословных логарифмических вероятностей языковой модели ruGPT-3, вычисленных на этапе извлечения признаков.</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Логика фильтра следующая. Если для выявленного фрагмента доступны пословные логарифмические вероятности, вычисляется их среднее по словам фрагмента. Если среднее значение выше порогового (по умолчанию -3,5), слова фрагмента считаются достаточно «ожидаемыми» для языковой модели, то есть с точки зрения языковой гладкости они вполне корректны. Если при этом уверенность нейросетевого классификатора недостаточно высока (ниже 0,65), фрагмент отбрасывается как вероятно ложное срабатывание. Фрагменты с высокой уверенностью классификатора сохраняются вне зависимости от показателей языковой гладкости.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Этот механизм основан на следующей интуиции: настоящая ошибка перевода, как правило, проявляется не только в том, что классификатор помечает слово как ошибочное, но и в том, что языковая модель оценивает это слово как маловероятное в данном контексте. Если же слово хорошо вписывается в контекст с точки зрения языковой модели, а классификатор при этом недостаточно уверен в его ошибочности, совместное свидетельство двух независимых источников информации говорит против наличия ошибки. Порог -3,5 выбран в соответствии с границами диапазона, используемого в системе правил назначения типов ошибок.</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4.9. Влияние выявленных фрагментов на итоговую оценку</w:t>
      </w:r>
    </w:p>
    <w:p>
      <w:pPr>
        <w:spacing w:after="0" w:before="0" w:line="360" w:lineRule="auto"/>
        <w:ind w:firstLine="720"/>
        <w:jc w:val="both"/>
      </w:pPr>
      <w:r>
        <w:rPr>
          <w:rFonts w:ascii="Times New Roman" w:cs="Times New Roman" w:eastAsia="Times New Roman" w:hAnsi="Times New Roman"/>
          <w:sz w:val="24"/>
          <w:szCs w:val="24"/>
        </w:rPr>
        <w:t xml:space="preserve">Результаты работы классификатора влияют на итоговую оценку качества ансамбля регрессионных моделей через механизм штрафов. Каждый выявленный фрагмент снижает оценку на фиксированную величину, зависящую от степени серьёзности: фрагмент с существенной ошибкой снижает оценку на 0,06, фрагмент с незначительной ошибкой — на 0,03. Каждый дополнительный фрагмент сверх первого вносит дополнительный штраф в размере 0,01. Суммарный штраф ограничен сверху значением 0,12, что предотвращает аномально низкие оценки при большом числе мелких срабатываний.</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Такой механизм штрафов обеспечивает согласованность между двумя компонентами системы. Если классификатор не выявил никаких ошибок, итоговая оценка определяется исключительно ансамблем регрессионных моделей. Если классификатор уверен в наличии существенных ошибок, оценка снижается пропорционально их тяжести. Это позволяет избежать ситуации, когда ансамбль даёт высокую оценку, но классификатор при этом выявляет явные ошибки: два независимых источника информации согласуются в итоговом результате.</w:t>
      </w:r>
    </w:p>
    <w:p>
      <w:pPr>
        <w:spacing w:after="160" w:before="0" w:line="360" w:lineRule="auto"/>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666666"/>
        <w:sz w:val="20"/>
        <w:szCs w:val="20"/>
      </w:rPr>
      <w:t xml:space="preserve">Отчёт о производственной практике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jc w:val="left"/>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2026-05-17T14:00:17.572Z</dcterms:created>
  <dcterms:modified xsi:type="dcterms:W3CDTF">2026-05-17T14:00:17.573Z</dcterms:modified>
</cp:coreProperties>
</file>

<file path=docProps/custom.xml><?xml version="1.0" encoding="utf-8"?>
<Properties xmlns="http://schemas.openxmlformats.org/officeDocument/2006/custom-properties" xmlns:vt="http://schemas.openxmlformats.org/officeDocument/2006/docPropsVTypes"/>
</file>