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Times New Roman" w:cs="Times New Roman" w:eastAsia="Times New Roman" w:hAnsi="Times New Roman"/>
          <w:b/>
          <w:bCs/>
          <w:sz w:val="28"/>
          <w:szCs w:val="28"/>
        </w:rPr>
        <w:t xml:space="preserve">5. ИНТЕРПРЕТАЦИЯ РЕЗУЛЬТАТОВ И ВЕБ-СЕРВИС</w:t>
      </w:r>
    </w:p>
    <w:p>
      <w:pPr>
        <w:spacing w:after="0" w:before="0" w:line="360" w:lineRule="auto"/>
        <w:ind w:firstLine="720"/>
        <w:jc w:val="both"/>
      </w:pPr>
      <w:r>
        <w:rPr>
          <w:rFonts w:ascii="Times New Roman" w:cs="Times New Roman" w:eastAsia="Times New Roman" w:hAnsi="Times New Roman"/>
          <w:sz w:val="24"/>
          <w:szCs w:val="24"/>
        </w:rPr>
        <w:t xml:space="preserve">Численная оценка качества и список ошибочных фрагментов сами по себе являются недостаточными для практического применения системы. Переводчику необходимо понимать, к какой категории лингвистических проблем относится каждая выявленная ошибка: это нарушение точности передачи смысла, морфологическая ошибка, несоблюдение локализационных норм или несоответствие стилевого регистра. Настоящий раздел описывает компоненты системы, обеспечивающие полноценную интерпретацию результатов: детерминированную систему правил назначения типов ошибок, формулу MQM-агрегации для вычисления штрафного балла, а также архитектуру веб-сервиса, который объединяет все компоненты в единое программное приложение.</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5.1. Таксономия ошибок многомерной оценки качества</w:t>
      </w:r>
    </w:p>
    <w:p>
      <w:pPr>
        <w:spacing w:after="0" w:before="0" w:line="360" w:lineRule="auto"/>
        <w:ind w:firstLine="720"/>
        <w:jc w:val="both"/>
      </w:pPr>
      <w:r>
        <w:rPr>
          <w:rFonts w:ascii="Times New Roman" w:cs="Times New Roman" w:eastAsia="Times New Roman" w:hAnsi="Times New Roman"/>
          <w:sz w:val="24"/>
          <w:szCs w:val="24"/>
        </w:rPr>
        <w:t xml:space="preserve">В основу системы интерпретации положена таксономия многомерной оценки качества перевода — MQM, Multidimensional Quality Metrics. Эта система классификации ошибок была разработана в рамках европейского проекта QTLaunchPad и впоследствии стала стандартом де-факто для профессиональной оценки качества перевода в промышленности и научных исследованиях. Таксономия организована иерархически и охватывает все основные измерения качества перевода от смысловой точности до стилистического соответствия.</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В системе реализованы семнадцать типов ошибок, сгруппированных в пять основных категорий. Категория точности охватывает ошибки, связанные с передачей содержания оригинала. Неверный перевод означает, что слово или фрагмент переведены с искажением смысла. Пропуск фиксирует отсутствие в переводе элемента, присутствующего в оригинале. Добавление означает появление в переводе информации, отсутствующей в оригинале. Непереведённый фрагмент указывает, что слово или словосочетание оставлены на исходном языке. Галлюцинация — наиболее серьёзный тип ошибки точности — означает, что перевод содержит информацию, которой нет в оригинале и которая не является обоснованной интерпретацией контекста.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Категория языковой грамотности охватывает ошибки, связанные с качеством формулировок на языке перевода вне зависимости от соответствия оригиналу. Морфологические ошибки включают неверное словообразование, неправильные окончания и несуществующие формы слов. Ошибки согласования фиксируют нарушения согласования по роду, числу и падежу между зависимыми словами. Орфографические ошибки охватывают опечатки и неверное написание. Неудачный выбор слова указывает на лексически корректное, но стилистически или семантически неподходящее слово. Тавтология и повторы означают избыточное использование одного и того же слова или однокоренных слов.</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Категория терминологии охватывает ошибки, связанные с передачей специализированной лексики: использование неверного отраслевого термина и непоследовательное употребление терминов в пределах текста. Категория локализации включает несоблюдение нормативных форматов, характерных для целевой языковой культуры: формат чисел, формат дат, типографские кавычки и обозначения валют. Категория стиля в реализованной системе содержит один тип: несоответствие регистра речи контексту и жанру текста.</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5.2. Детерминированная система правил назначения типов ошибок</w:t>
      </w:r>
    </w:p>
    <w:p>
      <w:pPr>
        <w:spacing w:after="0" w:before="0" w:line="360" w:lineRule="auto"/>
        <w:ind w:firstLine="720"/>
        <w:jc w:val="both"/>
      </w:pPr>
      <w:r>
        <w:rPr>
          <w:rFonts w:ascii="Times New Roman" w:cs="Times New Roman" w:eastAsia="Times New Roman" w:hAnsi="Times New Roman"/>
          <w:sz w:val="24"/>
          <w:szCs w:val="24"/>
        </w:rPr>
        <w:t xml:space="preserve">Нейросетевой классификатор определяет только степень серьёзности ошибки — незначительная или существенная. Тип ошибки по таксономии MQM назначается полностью детерминированно через систему правил, что является осознанным архитектурным решением. Детерминированные правила прозрачны, воспроизводимы и могут быть проверены и скорректированы без переобучения модели. Кроме того, для правильной классификации типа ошибки важна информация, которая уже была вычислена на этапе извлечения признаков: доля непереведённых слов, доля морфологических ошибок, несоответствие числовых значений. Передача этой информации в классификационную систему правил позволяет избежать её повторного вычисления.</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Правила применяются в строгом порядке приоритетов. Для каждого выявленного ошибочного фрагмента функция назначения типа проверяет условия последовательно, возвращая тип первого сработавшего правила.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Правила наивысшего приоритета относятся к наиболее очевидным и однозначным типам ошибок. Если доля непереведённых слов во всём предложении превышает 22 процента или доля латинских символов в тексте превышает 30 процентов, фрагменту присваивается тип «непереведённый фрагмент» вне зависимости от других условий. Если фрагмент содержит символ валюты, ему присваивается тип «ошибка локализации: валюта». Если в предложении зафиксировано несоответствие кавычек и фрагмент содержит прямые кавычки, присваивается тип «ошибка локализации: кавычки». Аналогично обрабатываются ошибки формата дат: если для предложения зафиксирована ошибка формата и фрагмент содержит дату, присваивается соответствующий тип. Если доля сохранённых числовых значений ниже 75 процентов и фрагмент содержит цифру, присваивается тип «ошибка локализации: формат числа».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Правила второго уровня приоритета направлены на выявление морфологических и орфографических проблем. Если доля морфологических ошибок в предложении превышает 20 процентов или хотя бы одно кириллическое слово фрагмента не получило морфологического разбора с известной частью речи в анализаторе pymorphy2, присваивается тип «морфологическая ошибка». Если доля словарных промахов по всему предложению превышает 25 процентов и фрагмент содержит слово длиннее двадцати символов без дефиса или слово длиной от двух до восьми символов с нетипичным для русского языка сочетанием четырёх и более согласных подряд, присваивается тип «орфографическая ошибка». Если доля повторяющихся лемм превышает 24 процента, присваивается тип «тавтология и повторы».</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Для выявления ошибок согласования используется совместный сигнал двух источников. Необходимым условием является наличие хотя бы одной ошибки согласования, зафиксированной синтаксическим парсером spaCy на уровне предложения. Дополнительным условием является значение средней логарифмической вероятности слов фрагмента в диапазоне от -6,0 до -3,5: это диапазон, характерный для слов, которые неожиданны для языковой модели, но не являются полностью невероятными, что соответствует типичной картине для морфологически некорректных слов. При выполнении обоих условий присваивается тип «ошибка согласования».</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Правила третьего уровня приоритета определяют типы ошибок точности. Если доля пропущенных именованных сущностей превышает 40 процентов и фрагмент содержит не более трёх слов, ему присваивается тип «пропуск», поскольку короткий ошибочный фрагмент в предложении с пропущенными сущностями с высокой вероятностью и является местом этого пропуска. Если среднее значение логарифмической вероятности слов фрагмента ниже -6,0, что указывает на крайне маловероятные для языковой модели слова, присваивается тип «неудачный выбор слова». Если ни одно из перечисленных условий не выполнено, по умолчанию присваивается тип «неверный перевод» — наиболее общий тип ошибки точности, используемый как резервный вариант.</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5.3. MQM-агрегация и вычисление штрафного балла</w:t>
      </w:r>
    </w:p>
    <w:p>
      <w:pPr>
        <w:spacing w:after="0" w:before="0" w:line="360" w:lineRule="auto"/>
        <w:ind w:firstLine="720"/>
        <w:jc w:val="both"/>
      </w:pPr>
      <w:r>
        <w:rPr>
          <w:rFonts w:ascii="Times New Roman" w:cs="Times New Roman" w:eastAsia="Times New Roman" w:hAnsi="Times New Roman"/>
          <w:sz w:val="24"/>
          <w:szCs w:val="24"/>
        </w:rPr>
        <w:t xml:space="preserve">После назначения типов ошибок всем выявленным фрагментам вычисляется агрегированный штрафной балл по формуле, адаптированной из методологии MQM. Формула имеет следующий вид. Для каждого ошибочного фрагмента вычисляется произведение трёх множителей: весового коэффициента типа ошибки, штрафа за степень серьёзности и уверенности классификатора в данном фрагменте. Произведения суммируются по всем фрагментам, после чего сумма делится на нормализатор, равный числу слов в переводе. Результат вычитается из ста, и полученное значение делится на сто для приведения к диапазону от нуля до единицы. Итоговое значение ограничивается снизу нулём и сверху единицей.</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Весовые коэффициенты типов ошибок в текущей конфигурации системы установлены равными единице для всех семнадцати типов, что означает одинаковый вклад каждого типа при прочих равных условиях. Архитектура системы предусматривает возможность загрузки настроенных весов из файла в формате бинарного массива: при наличии файла загружаются сохранённые значения, при его отсутствии применяются единичные веса. Порядок весов в массиве фиксирован и соответствует порядку типов в таблице типов ошибок — это требование необходимо соблюдать при оптимизации весов на дополнительных данных.</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Штрафы за степень серьёзности установлены следующим образом: незначительная ошибка даёт штраф 1,0, существенная ошибка — штраф 5,0. Такое соотношение соответствует методологии MQM, в которой существенные ошибки по умолчанию взвешиваются в пять раз тяжелее незначительных. Уверенность классификатора выступает как мягкий множитель: ошибки, обнаруженные с высокой уверенностью, вносят в штраф больший вклад, чем ошибки, выявленные на пороговом уровне. Это делает формулу более устойчивой к ненадёжным предсказаниям классификатора.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Нормализация на число слов перевода обеспечивает сопоставимость штрафных баллов для предложений разной длины. Без этой нормализации длинное предложение с несколькими незначительными ошибками получало бы более высокий суммарный штраф, чем короткое предложение с одной существенной ошибкой, что не соответствует интуитивному представлению о качестве перевода. Нормализованный штрафной балл, напротив, отражает плотность ошибок в тексте, а не их абсолютное число.</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Агрегатор дополнительно сохраняет ненормализованные вклады по каждому типу ошибок отдельно. Это позволяет диагностировать, какой тип ошибок доминирует в конкретном предложении или в наборе данных в целом, и использовать эту информацию при настройке весов. Ненормализованные вклады хранятся именно в ненормализованном виде, а не делятся на число слов, поскольку это обеспечивает корректное сравнение вкладов типов ошибок между предложениями разной длины: итоговая нормализация применяется один раз ко всей сумме.</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5.4. Сборка итогового результата</w:t>
      </w:r>
    </w:p>
    <w:p>
      <w:pPr>
        <w:spacing w:after="0" w:before="0" w:line="360" w:lineRule="auto"/>
        <w:ind w:firstLine="720"/>
        <w:jc w:val="both"/>
      </w:pPr>
      <w:r>
        <w:rPr>
          <w:rFonts w:ascii="Times New Roman" w:cs="Times New Roman" w:eastAsia="Times New Roman" w:hAnsi="Times New Roman"/>
          <w:sz w:val="24"/>
          <w:szCs w:val="24"/>
        </w:rPr>
        <w:t xml:space="preserve">Сборка итогового результата для пользователя выполняется компонентом-предиктором, который координирует работу всех остальных модулей системы. На вход поступает пара текстов — исходный текст и машинный перевод. Предиктор последовательно вызывает извлечение признаков, все три регрессионные модели, классификатор ошибочных фрагментов, систему правил назначения типов и агрегатор MQM, после чего формирует итоговую структуру данных для передачи пользователю.</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Структура итогового результата содержит несколько полей. Основная числовая оценка — это оценка ансамбля регрессионных моделей после применения штрафа за выявленные ошибочные фрагменты. Доверительный интервал и мера неопределённости вычисляются как взвешенное среднее соответствующих значений от каждой модели. Дополнительно сохраняются индивидуальные оценки всех трёх регрессионных моделей и ансамбля, что позволяет пользователю сравнить их между собой.</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Список ошибочных фрагментов содержит для каждого фрагмента: индексы первого и последнего слова, степень серьёзности, тип ошибки по таксономии MQM с русским описанием, уверенность классификатора и текст фрагмента, извлечённый из перевода. Объяснение числовой оценки представлено в виде словаря, где ключами являются категории MQM на русском языке, а значениями — доли соответствующих категорий в суммарном штрафе от идеальной оценки. Отдельно хранятся MQM-агрегированный балл, подготовленный для отображения HTML-разметки перевода с цветовой подсветкой ошибочных фрагментов, а также отладочная информация с полным набором вычисленных признаков и значениями SHAP для каждого признака.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Отладочная информация кэшируется в браузере пользователя и используется при сохранении ручной разметки ошибок. Это позволяет сохранить обратную связь без повторного вычисления тяжёлых признаков: пользователь указывает фрагмент с ошибкой и её тип, а все признаки и пословные логарифмические вероятности берутся из кэша последнего запроса к системе.</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5.5. Архитектура веб-сервиса</w:t>
      </w:r>
    </w:p>
    <w:p>
      <w:pPr>
        <w:spacing w:after="0" w:before="0" w:line="360" w:lineRule="auto"/>
        <w:ind w:firstLine="720"/>
        <w:jc w:val="both"/>
      </w:pPr>
      <w:r>
        <w:rPr>
          <w:rFonts w:ascii="Times New Roman" w:cs="Times New Roman" w:eastAsia="Times New Roman" w:hAnsi="Times New Roman"/>
          <w:sz w:val="24"/>
          <w:szCs w:val="24"/>
        </w:rPr>
        <w:t xml:space="preserve">Система реализована в виде веб-приложения, построенного на основе фреймворка FastAPI — современного высокопроизводительного фреймворка для создания прикладных программных интерфейсов на языке Python. FastAPI основан на стандарте ASGI (асинхронный интерфейс шлюза сервера) и использует асинхронную обработку запросов, что позволяет обслуживать несколько клиентов одновременно без блокировки потока исполнения. Декларативная спецификация схем запросов и ответов через аннотации типов Python обеспечивает автоматическую валидацию входных данных и генерацию интерактивной документации программного интерфейса.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Ключевой архитектурный принцип сервиса состоит в однократной загрузке всех моделей при старте приложения. Все компоненты системы — извлекатель признаков, три регрессионные модели с их объяснителями, нейросетевой классификатор и агрегатор MQM — инициализируются во время запуска процесса и сохраняются в оперативной памяти на протяжении всего времени работы сервиса. Это исключает многократную загрузку моделей при каждом запросе, которая занимала бы десятки секунд и делала бы сервис практически неприменимым. Механизм управления жизненным циклом приложения (lifespan), предоставляемый FastAPI, обеспечивает выполнение инициализации до начала обработки первых запросов и корректную выгрузку ресурсов при завершении работы.</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Состояние загруженных моделей инкапсулировано в специальном объекте, который хранится в пространстве состояний приложения FastAPI. Этот объект отслеживает текущий статус загрузки: не начата, в процессе, готова к работе или завершилась ошибкой. Если загрузка моделей завершилась ошибкой, сервис продолжает работу и отвечает на запросы о статусе, сообщая об ошибке, но не обрабатывает запросы на оценку перевода. Это позволяет диагностировать проблемы без перезапуска процесса.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Сервис предоставляет несколько конечных точек прикладного интерфейса. Запрос о статусе возвращает текущее состояние системы, время готовности моделей и число сохранённых записей обратной связи. Запрос на оценку одного предложения принимает исходный текст и перевод и возвращает полную структуру результата. Запрос на пакетную оценку принимает список пар текстов и обрабатывает их последовательно; максимальный размер пакета ограничен пятьюдесятью парами. Запрос на сохранение обратной связи принимает данные ручной разметки вместе с кэшированными признаками и записывает их в файл в формате строк JSON. Запрос на перезагрузку моделей позволяет обновить регрессионные модели и классификатор без перезапуска сервиса — тяжёлые нейросетевые компоненты при этом остаются в памяти.</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5.6. Пользовательский интерфейс</w:t>
      </w:r>
    </w:p>
    <w:p>
      <w:pPr>
        <w:spacing w:after="0" w:before="0" w:line="360" w:lineRule="auto"/>
        <w:ind w:firstLine="720"/>
        <w:jc w:val="both"/>
      </w:pPr>
      <w:r>
        <w:rPr>
          <w:rFonts w:ascii="Times New Roman" w:cs="Times New Roman" w:eastAsia="Times New Roman" w:hAnsi="Times New Roman"/>
          <w:sz w:val="24"/>
          <w:szCs w:val="24"/>
        </w:rPr>
        <w:t xml:space="preserve">Веб-интерфейс реализован в виде одностраничного приложения на языке JavaScript без использования клиентских фреймворков. Такой выбор обусловлен стремлением к минимальной зависимости от внешних библиотек и максимальной прозрачности кода интерфейса.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Интерфейс организован в виде таблицы сегментов, каждая строка которой соответствует одной паре «оригинал — перевод». Пользователь может добавлять новые строки, редактировать тексты непосредственно в ячейках таблицы и запускать оценку для отдельного сегмента или для всех сегментов одновременно. После завершения оценки в ячейке со score появляется цветной значок с числовой оценкой: зелёный для хороших переводов, жёлтый для средних, оранжевый для слабых и красный для плохих.</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Текст перевода отображается с цветовой подсветкой ошибочных фрагментов: слова с существенными ошибками выделяются красным фоном, слова с незначительными ошибками — оранжевым. При наведении курсора на выделенное слово появляется всплывающая подсказка с типом ошибки, её серьёзностью и уверенностью классификатора. Технически подсветка реализована через наложение слоя с форматированным текстом поверх прозрачного редактируемого поля: это позволяет одновременно отображать подсветку и поддерживать редактирование текста пользователем.</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Нижняя панель интерфейса отображает подробные сведения о выбранном сегменте. В верхней части панели показана числовая оценка с доверительным интервалом и MQM-баллом, а также кнопки переключения между оценками отдельных моделей и ансамбля. Ниже расположен блок разбора штрафа: признаки, вносящие отрицательный SHAP-вклад, сгруппированы по категориям MQM и отсортированы по убыванию доли в суммарном штрафе. Для каждого признака показано его числовое значение, доля штрафа и визуальная полоса для интуитивного восприятия относительной величины. При развёртывании значка вопроса рядом с именем признака появляется его текстовое описание на русском языке, понятное пользователю без технического образования в области машинного обучения.</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Список выявленных ошибочных фрагментов отображается ниже блока объяснения. При нажатии на строку с ошибкой соответствующий фрагмент подсвечивается в тексте перевода активным рамочным выделением. Кнопка ручной разметки позволяет пользователю указать фрагмент, ввести тип ошибки и степень серьёзности; данные сохраняются через соответствующий запрос к программному интерфейсу вместе с кэшированными признаками, что формирует обучающую выборку для последующего дообучения классификатора.</w:t>
      </w:r>
    </w:p>
    <w:p>
      <w:pPr>
        <w:spacing w:after="160" w:before="0" w:line="360" w:lineRule="auto"/>
      </w:pPr>
      <w:r>
        <w:rPr>
          <w:rFonts w:ascii="Times New Roman" w:cs="Times New Roman" w:eastAsia="Times New Roman" w:hAnsi="Times New Roman"/>
          <w:sz w:val="24"/>
          <w:szCs w:val="24"/>
        </w:rPr>
        <w:t xml:space="preserve"/>
      </w:r>
    </w:p>
    <w:p>
      <w:pPr>
        <w:pStyle w:val="Heading1"/>
        <w:spacing w:after="240" w:before="480"/>
      </w:pPr>
      <w:r>
        <w:rPr>
          <w:rFonts w:ascii="Times New Roman" w:cs="Times New Roman" w:eastAsia="Times New Roman" w:hAnsi="Times New Roman"/>
          <w:b/>
          <w:bCs/>
          <w:sz w:val="28"/>
          <w:szCs w:val="28"/>
        </w:rPr>
        <w:t xml:space="preserve">ЗАКЛЮЧЕНИЕ</w:t>
      </w:r>
    </w:p>
    <w:p>
      <w:pPr>
        <w:spacing w:after="0" w:before="0" w:line="360" w:lineRule="auto"/>
        <w:ind w:firstLine="720"/>
        <w:jc w:val="both"/>
      </w:pPr>
      <w:r>
        <w:rPr>
          <w:rFonts w:ascii="Times New Roman" w:cs="Times New Roman" w:eastAsia="Times New Roman" w:hAnsi="Times New Roman"/>
          <w:sz w:val="24"/>
          <w:szCs w:val="24"/>
        </w:rPr>
        <w:t xml:space="preserve">В ходе производственной практики была полностью реализована система автоматической оценки качества машинного перевода с английского на русский язык в режиме без эталона. Система объединяет несколько взаимодополняющих компонентов, каждый из которых вносит самостоятельный вклад в итоговый результат.</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Разработан многоэтапный пайплайн подготовки данных, включающий загрузку и нормализацию набора Direct Assessment, обработку пословно размеченных данных WMT21, дедупликацию набора MQM и генерацию синтетических примеров низкого качества четырьмя методами. Реализовано извлечение сорока трёх признаков, разбитых на шесть групп: от поверхностных структурных и форматных метрик до семантических представлений LaBSE и признаков языковой гладкости на основе языковой модели ruGPT-3 Small.</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Обучен ансамбль из трёх регрессионных моделей — градиентного бустинга XGBoost с нестандартным механизмом ранней остановки по коэффициенту корреляции Пирсона, гребневой регрессии и случайного леса. Для каждой оценки вычисляются доверительный интервал и мера неопределённости, а объяснение формируется через метод SHAP с агрегацией по категориям MQM.</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Дообучена многоязычная модель XLM-RoBERTa на задаче классификации токенов для выявления ошибочных фрагментов перевода с тремя классами меток. Реализованы схема токенизации с асимметричным распределением контекстного бюджета, стратегия первого субтокена для маппинга на слова, взвешенная функция потерь и ранняя остановка по метрике F1 для существенных ошибок. Введён механизм фильтрации ложных срабатываний с использованием пословных вероятностей языковой модели ruGPT-3.</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Разработана детерминированная система правил назначения типов ошибок по таксономии MQM с семнадцатью категориями и реализована MQM-агрегация штрафного балла с учётом типа ошибки, её серьёзности и уверенности классификатора. Все компоненты интегрированы в единый веб-сервис на основе FastAPI с однократной загрузкой моделей в память и пользовательским интерфейсом, обеспечивающим интерактивное отображение результатов, цветовую подсветку ошибочных фрагментов и механизм сбора обратной связи.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Принципиальным отличием разработанной системы от существующих решений является встроенная интерпретируемость на трёх уровнях: уровне признаков с объяснением вклада каждого из сорока трёх показателей, уровне категорий MQM с распределением штрафа по типам ошибок и уровне конкретных слов с подсветкой ошибочных фрагментов и указанием их типа. Такая структура результата ориентирована на конечного пользователя — переводчика или постредактора — и обеспечивает не только числовую оценку, но и содержательную обратную связь, указывающую, что именно и где следует исправить.</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Направлениями дальнейшего развития системы являются: калибровка порогов классификации на валидационных данных, расширение обучающих данных классификатора за счёт автоматической разметки синтетических примеров, оптимизация весов MQM-агрегации на размеченных данных, а также дообучение системы на накопленных записях ручной разметки пользователей.</w:t>
      </w:r>
    </w:p>
    <w:p>
      <w:pPr>
        <w:spacing w:after="160" w:before="0" w:line="360" w:lineRule="auto"/>
      </w:pPr>
      <w:r>
        <w:rPr>
          <w:rFonts w:ascii="Times New Roman" w:cs="Times New Roman" w:eastAsia="Times New Roman" w:hAnsi="Times New Roman"/>
          <w:sz w:val="24"/>
          <w:szCs w:val="24"/>
        </w:rPr>
        <w:t xml:space="preserve"/>
      </w:r>
    </w:p>
    <w:sectPr>
      <w:headerReference w:type="default" r:id="rId7"/>
      <w:footerReference w:type="default" r:id="rId8"/>
      <w:pgSz w:w="11906" w:h="16838" w:orient="portrait"/>
      <w:pgMar w:top="1440" w:right="100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color w:val="666666"/>
        <w:sz w:val="20"/>
        <w:szCs w:val="20"/>
      </w:rPr>
      <w:t xml:space="preserve">Отчёт о производственной практике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lef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20"/>
      <w:jc w:val="left"/>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2026-05-17T18:54:10.588Z</dcterms:created>
  <dcterms:modified xsi:type="dcterms:W3CDTF">2026-05-17T18:54:10.610Z</dcterms:modified>
</cp:coreProperties>
</file>

<file path=docProps/custom.xml><?xml version="1.0" encoding="utf-8"?>
<Properties xmlns="http://schemas.openxmlformats.org/officeDocument/2006/custom-properties" xmlns:vt="http://schemas.openxmlformats.org/officeDocument/2006/docPropsVTypes"/>
</file>