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nálisis_de_caso_análisis_explora_7e2a9b"/>
      <w:r>
        <w:rPr>
          <w:rFonts w:eastAsia="Georgia" w:cs="Georgia" w:ascii="Georgia" w:hAnsi="Georgia"/>
          <w:b/>
          <w:sz w:val="56"/>
        </w:rPr>
        <w:t xml:space="preserve">Análisis de Caso: Análisis Exploratorio de Datos</w:t>
      </w:r>
      <w:bookmarkEnd w:id="0"/>
    </w:p>
    <w:p>
      <w:pPr>
        <w:spacing w:after="210" w:lineRule="auto"/>
      </w:pPr>
      <w:r>
        <w:rPr>
          <w:b/>
        </w:rPr>
        <w:t xml:space="preserve">InfoRetail - Propuesta de EDA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bm_1_qué_es_eda_y_en_qué_se_difer_4aa135"/>
      <w:r>
        <w:rPr>
          <w:rFonts w:eastAsia="Georgia" w:cs="Georgia" w:ascii="Georgia" w:hAnsi="Georgia"/>
          <w:b/>
          <w:sz w:val="42"/>
        </w:rPr>
        <w:t xml:space="preserve">1. ¿Qué es EDA y en qué se diferencia de IDA?</w:t>
      </w:r>
      <w:bookmarkEnd w:id="1"/>
    </w:p>
    <w:p>
      <w:pPr>
        <w:spacing w:after="210" w:lineRule="auto"/>
      </w:pPr>
      <w:r>
        <w:rPr/>
        <w:t xml:space="preserve">El </w:t>
      </w:r>
      <w:r>
        <w:rPr>
          <w:b/>
        </w:rPr>
        <w:t xml:space="preserve">análisis exploratorio de datos (EDA)</w:t>
      </w:r>
      <w:r>
        <w:rPr>
          <w:rFonts w:eastAsia="Georgia" w:cs="Georgia" w:ascii="Georgia" w:hAnsi="Georgia"/>
        </w:rPr>
        <w:t xml:space="preserve"> es la etapa en la que se observa un conjunto de datos con el objetivo de entender su estructura, detectar patrones, identificar valores atípicos y formular hipótesis iniciales. Se apoya en resúmenes estadísticos simples y visualizaciones para "conocer" los datos antes de construir modelos o sacar conclusiones más complejas.</w:t>
      </w:r>
    </w:p>
    <w:p>
      <w:pPr>
        <w:spacing w:after="210" w:lineRule="auto"/>
      </w:pPr>
      <w:r>
        <w:rPr/>
        <w:t xml:space="preserve">El </w:t>
      </w:r>
      <w:r>
        <w:rPr>
          <w:b/>
        </w:rPr>
        <w:t xml:space="preserve">análisis inicial de datos (IDA)</w:t>
      </w:r>
      <w:r>
        <w:rPr>
          <w:rFonts w:eastAsia="Georgia" w:cs="Georgia" w:ascii="Georgia" w:hAnsi="Georgia"/>
        </w:rPr>
        <w:t xml:space="preserve"> se enfoca más en la preparación técnica del dataset: revisión de la calidad de los datos, tratamiento de valores faltantes, verificación de tipos de variables, consistencia de formatos y detección de errores de carga o registro. Mientras el IDA busca asegurar que los datos sean utilizables, el EDA se centra en comprender qué dicen esos datos una vez que ya se consideran suficientemente limpios.</w:t>
      </w:r>
    </w:p>
    <w:p>
      <w:pPr>
        <w:spacing w:after="210" w:lineRule="auto"/>
      </w:pPr>
      <w:r>
        <w:rPr>
          <w:rFonts w:eastAsia="Georgia" w:cs="Georgia" w:ascii="Georgia" w:hAnsi="Georgia"/>
        </w:rPr>
        <w:t xml:space="preserve">En otras palabras, el IDA responde a la pregunta "¿están los datos en condiciones de analizarse?", mientras que el EDA responde a "¿qué características, patrones y relaciones importantes hay en estos datos?".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2_tres_técnicas_exploratorias_953a0e"/>
      <w:r>
        <w:rPr>
          <w:rFonts w:eastAsia="Georgia" w:cs="Georgia" w:ascii="Georgia" w:hAnsi="Georgia"/>
          <w:b/>
          <w:sz w:val="42"/>
        </w:rPr>
        <w:t xml:space="preserve">2. Tres técnicas exploratorias y qué permiten observar</w:t>
      </w:r>
      <w:bookmarkEnd w:id="2"/>
    </w:p>
    <w:p>
      <w:pPr>
        <w:spacing w:after="210" w:lineRule="auto"/>
      </w:pPr>
      <w:r>
        <w:rPr>
          <w:rFonts w:eastAsia="Georgia" w:cs="Georgia" w:ascii="Georgia" w:hAnsi="Georgia"/>
        </w:rPr>
        <w:t xml:space="preserve">A continuación, se describen tres técnicas típicas de EDA que podrían aplicarse al dataset de InfoRetail (ventas, productos, sucursales y clientes).</w:t>
      </w:r>
    </w:p>
    <w:p>
      <w:pPr>
        <w:spacing w:line="271" w:before="240" w:lineRule="auto"/>
      </w:pPr>
      <w:bookmarkStart w:id="3" w:name="bm_2_1_histogramas"/>
      <w:r>
        <w:rPr>
          <w:b/>
          <w:sz w:val="33"/>
        </w:rPr>
        <w:t xml:space="preserve">2.1 Histogramas</w:t>
      </w:r>
      <w:bookmarkEnd w:id="3"/>
    </w:p>
    <w:p>
      <w:pPr>
        <w:spacing w:after="210" w:lineRule="auto"/>
      </w:pPr>
      <w:r>
        <w:rPr/>
        <w:t xml:space="preserve">Los </w:t>
      </w:r>
      <w:r>
        <w:rPr>
          <w:b/>
        </w:rPr>
        <w:t xml:space="preserve">histogramas</w:t>
      </w:r>
      <w:r>
        <w:rPr>
          <w:rFonts w:eastAsia="Georgia" w:cs="Georgia" w:ascii="Georgia" w:hAnsi="Georgia"/>
        </w:rPr>
        <w:t xml:space="preserve"> permiten visualizar la distribución de una variable numérica, mostrando con qué frecuencia aparecen los valores dentro de distintos rangos. En un contexto de ventas, se podría usar un histograma para analizar la distribución del monto de venta por ticket o por día, identificando si las ventas se concentran en valores bajos, medios o altos.</w:t>
      </w:r>
    </w:p>
    <w:p>
      <w:pPr>
        <w:spacing w:after="210" w:lineRule="auto"/>
      </w:pPr>
      <w:r>
        <w:rPr>
          <w:rFonts w:eastAsia="Georgia" w:cs="Georgia" w:ascii="Georgia" w:hAnsi="Georgia"/>
        </w:rPr>
        <w:t xml:space="preserve">Esta técnica ayuda a detectar sesgos (por ejemplo, muchas ventas pequeñas y pocas ventas muy grandes) y posibles valores extremos que podrían requerir análisis adicional.</w:t>
      </w:r>
    </w:p>
    <w:p>
      <w:pPr>
        <w:spacing w:line="271" w:before="240" w:lineRule="auto"/>
      </w:pPr>
      <w:bookmarkStart w:id="4" w:name="bm_2_2_boxplot"/>
      <w:r>
        <w:rPr>
          <w:b/>
          <w:sz w:val="33"/>
        </w:rPr>
        <w:t xml:space="preserve">2.2 Boxplot</w:t>
      </w:r>
      <w:bookmarkEnd w:id="4"/>
    </w:p>
    <w:p>
      <w:pPr>
        <w:spacing w:after="210" w:lineRule="auto"/>
      </w:pPr>
      <w:r>
        <w:rPr/>
        <w:t xml:space="preserve">El </w:t>
      </w:r>
      <w:r>
        <w:rPr>
          <w:b/>
        </w:rPr>
        <w:t xml:space="preserve">boxplot</w:t>
      </w:r>
      <w:r>
        <w:rPr>
          <w:rFonts w:eastAsia="Georgia" w:cs="Georgia" w:ascii="Georgia" w:hAnsi="Georgia"/>
        </w:rPr>
        <w:t xml:space="preserve"> (diagrama de caja y bigotes) resume la distribución de una variable numérica a partir de sus cuartiles y resalta los valores atípicos. En el caso de InfoRetail, un boxplot podría utilizarse para comparar la distribución de ventas entre sucursales, observando mediana, dispersión y presencia de outliers en cada una.</w:t>
      </w:r>
    </w:p>
    <w:p>
      <w:pPr>
        <w:spacing w:after="210" w:lineRule="auto"/>
      </w:pPr>
      <w:r>
        <w:rPr>
          <w:rFonts w:eastAsia="Georgia" w:cs="Georgia" w:ascii="Georgia" w:hAnsi="Georgia"/>
        </w:rPr>
        <w:t xml:space="preserve">Esta técnica facilita la comparación entre grupos (por ejemplo, sucursales, categorías de producto o segmentos de clientes) y permite ver rápidamente cuáles tienen mayor variabilidad o resultados más extremos.</w:t>
      </w:r>
    </w:p>
    <w:p>
      <w:pPr>
        <w:spacing w:line="271" w:before="240" w:lineRule="auto"/>
      </w:pPr>
      <w:bookmarkStart w:id="5" w:name="bm_2_3_matriz_de_correlación"/>
      <w:r>
        <w:rPr>
          <w:rFonts w:eastAsia="Georgia" w:cs="Georgia" w:ascii="Georgia" w:hAnsi="Georgia"/>
          <w:b/>
          <w:sz w:val="33"/>
        </w:rPr>
        <w:t xml:space="preserve">2.3 Matriz de correlación</w:t>
      </w:r>
      <w:bookmarkEnd w:id="5"/>
    </w:p>
    <w:p>
      <w:pPr>
        <w:spacing w:after="210" w:lineRule="auto"/>
      </w:pPr>
      <w:r>
        <w:rPr/>
        <w:t xml:space="preserve">La </w:t>
      </w:r>
      <w:r>
        <w:rPr>
          <w:b/>
        </w:rPr>
        <w:t xml:space="preserve">matriz de correlación</w:t>
      </w:r>
      <w:r>
        <w:rPr>
          <w:rFonts w:eastAsia="Georgia" w:cs="Georgia" w:ascii="Georgia" w:hAnsi="Georgia"/>
        </w:rPr>
        <w:t xml:space="preserve"> muestra el grado de relación lineal entre pares de variables numéricas mediante coeficientes de correlación. Para InfoRetail, podría emplearse para analizar la relación entre variables como cantidad de productos vendidos, monto total de venta, descuentos aplicados o frecuencia de compra de los clientes.</w:t>
      </w:r>
    </w:p>
    <w:p>
      <w:pPr>
        <w:spacing w:after="210" w:lineRule="auto"/>
      </w:pPr>
      <w:r>
        <w:rPr>
          <w:rFonts w:eastAsia="Georgia" w:cs="Georgia" w:ascii="Georgia" w:hAnsi="Georgia"/>
        </w:rPr>
        <w:t xml:space="preserve">Observar estas correlaciones ayuda a detectar asociaciones relevantes (por ejemplo, si mayores descuentos se relacionan fuertemente con mayores cantidades vendidas) y a identificar variables redundantes o candidatas a ser consideradas juntas en análisis posteriores.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3_dos_herramientas_para_aplica_59951a"/>
      <w:r>
        <w:rPr>
          <w:rFonts w:eastAsia="Georgia" w:cs="Georgia" w:ascii="Georgia" w:hAnsi="Georgia"/>
          <w:b/>
          <w:sz w:val="42"/>
        </w:rPr>
        <w:t xml:space="preserve">3. Dos herramientas para aplicar estas técnicas</w:t>
      </w:r>
      <w:bookmarkEnd w:id="6"/>
    </w:p>
    <w:p>
      <w:pPr>
        <w:spacing w:line="271" w:before="240" w:lineRule="auto"/>
      </w:pPr>
      <w:bookmarkStart w:id="7" w:name="bm_3_1_python_pandas_seaborn_matplotlib"/>
      <w:r>
        <w:rPr>
          <w:b/>
          <w:sz w:val="33"/>
        </w:rPr>
        <w:t xml:space="preserve">3.1 Python (pandas, seaborn, matplotlib)</w:t>
      </w:r>
      <w:bookmarkEnd w:id="7"/>
    </w:p>
    <w:p>
      <w:pPr>
        <w:spacing w:after="210" w:lineRule="auto"/>
      </w:pPr>
      <w:r>
        <w:rPr/>
        <w:t xml:space="preserve">Python, junto con bibliotecas como </w:t>
      </w:r>
      <w:r>
        <w:rPr>
          <w:b/>
        </w:rPr>
        <w:t xml:space="preserve">pandas</w:t>
      </w:r>
      <w:r>
        <w:rPr/>
        <w:t xml:space="preserve">, </w:t>
      </w:r>
      <w:r>
        <w:rPr>
          <w:b/>
        </w:rPr>
        <w:t xml:space="preserve">seaborn</w:t>
      </w:r>
      <w:r>
        <w:rPr/>
        <w:t xml:space="preserve"> y </w:t>
      </w:r>
      <w:r>
        <w:rPr>
          <w:b/>
        </w:rPr>
        <w:t xml:space="preserve">matplotlib</w:t>
      </w:r>
      <w:r>
        <w:rPr>
          <w:rFonts w:eastAsia="Georgia" w:cs="Georgia" w:ascii="Georgia" w:hAnsi="Georgia"/>
        </w:rPr>
        <w:t xml:space="preserve">, es una herramienta muy utilizada para análisis exploratorio de datos. Permite cargar y transformar grandes volúmenes de datos, calcular estadísticas descriptivas y generar histogramas, boxplots y matrices de correlación de forma programática y reproducible.</w:t>
      </w:r>
    </w:p>
    <w:p>
      <w:pPr>
        <w:spacing w:after="210" w:lineRule="auto"/>
      </w:pPr>
      <w:r>
        <w:rPr/>
        <w:t xml:space="preserve">Entre sus ventajas se encuentran:</w:t>
      </w:r>
    </w:p>
    <w:p>
      <w:pPr>
        <w:numPr>
          <w:ilvl w:val="0"/>
          <w:numId w:val="1"/>
        </w:numPr>
        <w:spacing w:lineRule="auto"/>
      </w:pPr>
      <w:r>
        <w:rPr>
          <w:rFonts w:eastAsia="Georgia" w:cs="Georgia" w:ascii="Georgia" w:hAnsi="Georgia"/>
        </w:rPr>
        <w:t xml:space="preserve">La automatización de tareas repetitivas</w:t>
      </w:r>
    </w:p>
    <w:p>
      <w:pPr>
        <w:numPr>
          <w:ilvl w:val="0"/>
          <w:numId w:val="1"/>
        </w:numPr>
        <w:spacing w:lineRule="auto"/>
      </w:pPr>
      <w:r>
        <w:rPr>
          <w:rFonts w:eastAsia="Georgia" w:cs="Georgia" w:ascii="Georgia" w:hAnsi="Georgia"/>
        </w:rPr>
        <w:t xml:space="preserve">La posibilidad de integrar el análisis con otras etapas del proyecto (modelado, reporte, APIs)</w:t>
      </w:r>
    </w:p>
    <w:p>
      <w:pPr>
        <w:numPr>
          <w:ilvl w:val="0"/>
          <w:numId w:val="1"/>
        </w:numPr>
        <w:spacing w:lineRule="auto"/>
      </w:pPr>
      <w:r>
        <w:rPr/>
        <w:t xml:space="preserve">El control detallado sobre las visualizaciones</w:t>
      </w:r>
    </w:p>
    <w:p>
      <w:pPr>
        <w:numPr>
          <w:ilvl w:val="0"/>
          <w:numId w:val="1"/>
        </w:numPr>
        <w:spacing w:lineRule="auto"/>
      </w:pPr>
      <w:r>
        <w:rPr/>
        <w:t xml:space="preserve">Al trabajar con notebooks, es sencillo documentar cada paso del EDA e ir registrando observaciones y conclusiones parciales</w:t>
      </w:r>
    </w:p>
    <w:p>
      <w:pPr>
        <w:spacing w:line="271" w:before="240" w:lineRule="auto"/>
      </w:pPr>
      <w:bookmarkStart w:id="8" w:name="bm_3_2_power_bi_y_excel"/>
      <w:r>
        <w:rPr>
          <w:b/>
          <w:sz w:val="33"/>
        </w:rPr>
        <w:t xml:space="preserve">3.2 Power BI y Excel</w:t>
      </w:r>
      <w:bookmarkEnd w:id="8"/>
    </w:p>
    <w:p>
      <w:pPr>
        <w:spacing w:after="210" w:lineRule="auto"/>
      </w:pPr>
      <w:r>
        <w:rPr/>
        <w:t xml:space="preserve">Herramientas como </w:t>
      </w:r>
      <w:r>
        <w:rPr>
          <w:b/>
        </w:rPr>
        <w:t xml:space="preserve">Power BI</w:t>
      </w:r>
      <w:r>
        <w:rPr/>
        <w:t xml:space="preserve"> y </w:t>
      </w:r>
      <w:r>
        <w:rPr>
          <w:b/>
        </w:rPr>
        <w:t xml:space="preserve">Excel</w:t>
      </w:r>
      <w:r>
        <w:rPr>
          <w:rFonts w:eastAsia="Georgia" w:cs="Georgia" w:ascii="Georgia" w:hAnsi="Georgia"/>
        </w:rPr>
        <w:t xml:space="preserve"> también son muy útiles en las primeras etapas del análisis exploratorio, especialmente para equipos que no programan. Permiten importar datos, generar gráficos básicos (histogramas aproximados, gráficos de cajas, gráficos de barras) y construir paneles interactivos que facilitan la exploración por parte de usuarios de negocio.</w:t>
      </w:r>
    </w:p>
    <w:p>
      <w:pPr>
        <w:spacing w:after="210" w:lineRule="auto"/>
      </w:pPr>
      <w:r>
        <w:rPr/>
        <w:t xml:space="preserve">Las ventajas principales son:</w:t>
      </w:r>
    </w:p>
    <w:p>
      <w:pPr>
        <w:numPr>
          <w:ilvl w:val="0"/>
          <w:numId w:val="2"/>
        </w:numPr>
        <w:spacing w:lineRule="auto"/>
      </w:pPr>
      <w:r>
        <w:rPr>
          <w:rFonts w:eastAsia="Georgia" w:cs="Georgia" w:ascii="Georgia" w:hAnsi="Georgia"/>
        </w:rPr>
        <w:t xml:space="preserve">Curva de aprendizaje más suave</w:t>
      </w:r>
    </w:p>
    <w:p>
      <w:pPr>
        <w:numPr>
          <w:ilvl w:val="0"/>
          <w:numId w:val="2"/>
        </w:numPr>
        <w:spacing w:lineRule="auto"/>
      </w:pPr>
      <w:r>
        <w:rPr/>
        <w:t xml:space="preserve">Interfaz visual intuitiva</w:t>
      </w:r>
    </w:p>
    <w:p>
      <w:pPr>
        <w:numPr>
          <w:ilvl w:val="0"/>
          <w:numId w:val="2"/>
        </w:numPr>
        <w:spacing w:lineRule="auto"/>
      </w:pPr>
      <w:r>
        <w:rPr>
          <w:rFonts w:eastAsia="Georgia" w:cs="Georgia" w:ascii="Georgia" w:hAnsi="Georgia"/>
        </w:rPr>
        <w:t xml:space="preserve">Integración con otras fuentes de datos corporativos</w:t>
      </w:r>
    </w:p>
    <w:p>
      <w:pPr>
        <w:spacing w:after="210" w:lineRule="auto"/>
      </w:pPr>
      <w:r>
        <w:rPr>
          <w:rFonts w:eastAsia="Georgia" w:cs="Georgia" w:ascii="Georgia" w:hAnsi="Georgia"/>
        </w:rPr>
        <w:t xml:space="preserve">En el caso de InfoRetail, estas herramientas podrían servir para que los directivos y analistas no técnicos exploren ventas por sucursal, categoría de producto o segmento de cliente sin necesidad de escribir código.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4_conclusión_importancia_del_e_ce78e6"/>
      <w:r>
        <w:rPr>
          <w:rFonts w:eastAsia="Georgia" w:cs="Georgia" w:ascii="Georgia" w:hAnsi="Georgia"/>
          <w:b/>
          <w:sz w:val="42"/>
        </w:rPr>
        <w:t xml:space="preserve">4. Conclusión: importancia del EDA antes de análisis complejos</w:t>
      </w:r>
      <w:bookmarkEnd w:id="9"/>
    </w:p>
    <w:p>
      <w:pPr>
        <w:spacing w:after="210" w:lineRule="auto"/>
      </w:pPr>
      <w:r>
        <w:rPr/>
        <w:t xml:space="preserve">Realizar </w:t>
      </w:r>
      <w:r>
        <w:rPr>
          <w:b/>
        </w:rPr>
        <w:t xml:space="preserve">análisis exploratorio de datos</w:t>
      </w:r>
      <w:r>
        <w:rPr>
          <w:rFonts w:eastAsia="Georgia" w:cs="Georgia" w:ascii="Georgia" w:hAnsi="Georgia"/>
        </w:rPr>
        <w:t xml:space="preserve"> antes de aplicar técnicas avanzadas es fundamental porque permite detectar problemas de calidad, entender la estructura de los datos y evitar interpretar modelos construidos sobre información mal comprendida. Sin un EDA previo, es fácil obtener resultados "correctos" desde el punto de vista matemático, pero poco confiables o mal enfocados desde el punto de vista del negocio.</w:t>
      </w:r>
    </w:p>
    <w:p>
      <w:pPr>
        <w:spacing w:after="210" w:lineRule="auto"/>
      </w:pPr>
      <w:r>
        <w:rPr>
          <w:rFonts w:eastAsia="Georgia" w:cs="Georgia" w:ascii="Georgia" w:hAnsi="Georgia"/>
        </w:rPr>
        <w:t xml:space="preserve">En el caso de InfoRetail, un buen EDA ayuda a identificar patrones de venta por sucursal, comportamientos de los clientes y relaciones entre productos que pueden orientar mejor los análisis posteriores y las decisiones estratégicas. De esta manera, el equipo directivo cuenta con una base sólida para priorizar qué preguntas responder primero y qué modelos o informes desarrollar más adelante.</w:t>
      </w:r>
    </w:p>
    <w:p>
      <w:pPr>
        <w:spacing w:after="210" w:lineRule="auto"/>
      </w:pPr>
      <w:r>
        <w:rPr>
          <w:rFonts w:eastAsia="Georgia" w:cs="Georgia" w:ascii="Georgia" w:hAnsi="Georgia"/>
        </w:rPr>
        <w:t xml:space="preserve">El análisis exploratorio no es solo un paso técnico, sino una inversión estratégica que maximiza el valor de todo el proceso analítico posterior.</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2026-01-29T19:55:21.742Z</dcterms:created>
  <dcterms:modified xsi:type="dcterms:W3CDTF">2026-01-29T19:55:21.742Z</dcterms:modified>
</cp:coreProperties>
</file>