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240" w:after="120"/>
        <w:rPr>
          <w:rFonts w:ascii="Arial" w:hAnsi="Arial"/>
        </w:rPr>
      </w:pPr>
      <w:bookmarkStart w:id="0" w:name="documento_de_insights_y_recomenda_96f4c0"/>
      <w:r>
        <w:rPr>
          <w:rFonts w:eastAsia="Georgia" w:cs="Georgia" w:ascii="Arial" w:hAnsi="Arial"/>
          <w:b/>
          <w:sz w:val="56"/>
        </w:rPr>
        <w:t>Documento de Insights y Recomendaciones Estratégicas</w:t>
      </w:r>
      <w:bookmarkEnd w:id="0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" w:name="comercioya_análisis_de_ventas_2022_2024"/>
      <w:r>
        <w:rPr>
          <w:rFonts w:eastAsia="Georgia" w:cs="Georgia" w:ascii="Arial" w:hAnsi="Arial"/>
          <w:b/>
          <w:sz w:val="42"/>
        </w:rPr>
        <w:t>ComercioYA - Análisis de Ventas 2022-2024</w:t>
      </w:r>
      <w:bookmarkEnd w:id="1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Sr. Yuri Urzua Lebuy</w:t>
      </w:r>
      <w:r>
        <w:rPr>
          <w:rFonts w:ascii="Arial" w:hAnsi="Arial"/>
        </w:rPr>
        <w:br/>
      </w:r>
      <w:r>
        <w:rPr>
          <w:rFonts w:ascii="Arial" w:hAnsi="Arial"/>
        </w:rPr>
        <w:t>Febrero</w:t>
      </w:r>
      <w:r>
        <w:rPr>
          <w:rFonts w:ascii="Arial" w:hAnsi="Arial"/>
        </w:rPr>
        <w:t xml:space="preserve"> 2026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2" w:name="resumen_ejecutivo"/>
      <w:r>
        <w:rPr>
          <w:rFonts w:ascii="Arial" w:hAnsi="Arial"/>
          <w:b/>
          <w:sz w:val="42"/>
        </w:rPr>
        <w:t>Resumen Ejecutivo</w:t>
      </w:r>
      <w:bookmarkEnd w:id="2"/>
    </w:p>
    <w:p>
      <w:pPr>
        <w:pStyle w:val="Normal"/>
        <w:spacing w:lineRule="auto" w:line="240" w:before="0" w:after="210"/>
        <w:jc w:val="both"/>
        <w:rPr/>
      </w:pPr>
      <w:r>
        <w:rPr>
          <w:rFonts w:ascii="Arial" w:hAnsi="Arial"/>
        </w:rPr>
        <w:t xml:space="preserve">Este documento presenta los </w:t>
      </w:r>
      <w:r>
        <w:rPr>
          <w:rFonts w:ascii="Arial" w:hAnsi="Arial"/>
          <w:b/>
        </w:rPr>
        <w:t>insights clave</w:t>
      </w:r>
      <w:r>
        <w:rPr>
          <w:rFonts w:ascii="Arial" w:hAnsi="Arial"/>
        </w:rPr>
        <w:t xml:space="preserve"> y </w:t>
      </w:r>
      <w:r>
        <w:rPr>
          <w:rFonts w:ascii="Arial" w:hAnsi="Arial"/>
          <w:b/>
        </w:rPr>
        <w:t>recomendaciones accionables</w:t>
      </w:r>
      <w:r>
        <w:rPr>
          <w:rFonts w:eastAsia="Georgia" w:cs="Georgia" w:ascii="Arial" w:hAnsi="Arial"/>
        </w:rPr>
        <w:t xml:space="preserve"> derivados del análisis exploratorio de datos (EDA) realizado sobre las transacciones de ComercioYA en el periodo 2022-2024[1]. El análisis abarcó 1,000 registros de ventas distribuidos en tres categorías principales (Electronics, Accessories, Office) y cuatro regiones (North, South, East, West)[2].</w:t>
      </w:r>
    </w:p>
    <w:p>
      <w:pPr>
        <w:pStyle w:val="Normal"/>
        <w:spacing w:lineRule="auto" w:line="240" w:before="0" w:after="210"/>
        <w:jc w:val="both"/>
        <w:rPr/>
      </w:pPr>
      <w:r>
        <w:rPr>
          <w:rFonts w:eastAsia="Georgia" w:cs="Georgia" w:ascii="Arial" w:hAnsi="Arial"/>
        </w:rPr>
        <w:t>Los hallazgos revelan oportunidades claras de optimización en la gestión de portafolio, estrategia regional y márgenes de ganancia, con potencial de incrementar la rentabilidad entre 15-25% mediante acciones focalizadas[1][2].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2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3" w:name="bm_1_insights_principales"/>
      <w:r>
        <w:rPr>
          <w:rFonts w:ascii="Arial" w:hAnsi="Arial"/>
          <w:b/>
          <w:sz w:val="42"/>
        </w:rPr>
        <w:t>1. Insights Principales</w:t>
      </w:r>
      <w:bookmarkEnd w:id="3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4" w:name="bm_1_1_concentración_de_rentabilidad"/>
      <w:r>
        <w:rPr>
          <w:rFonts w:eastAsia="Georgia" w:cs="Georgia" w:ascii="Arial" w:hAnsi="Arial"/>
          <w:b/>
          <w:sz w:val="33"/>
        </w:rPr>
        <w:t>1.1 Concentración de Rentabilidad</w:t>
      </w:r>
      <w:bookmarkEnd w:id="4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ascii="Arial" w:hAnsi="Arial"/>
        </w:rPr>
        <w:t xml:space="preserve"> El 20% de las transacciones genera aproximadamente el 60% de las ganancias totales[2].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Las categorías Electronics y Accessories representan el 85% del volumen de ventas[2].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Existe alta variabilidad en márgenes: productos similares muestran diferencias de rentabilidad de hasta 300%[2].</w:t>
      </w:r>
    </w:p>
    <w:p>
      <w:pPr>
        <w:pStyle w:val="Normal"/>
        <w:numPr>
          <w:ilvl w:val="0"/>
          <w:numId w:val="1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Los outliers de ganancia (50 transacciones) concentran el 12% del profit total[2].</w:t>
      </w:r>
    </w:p>
    <w:p>
      <w:pPr>
        <w:pStyle w:val="Normal"/>
        <w:spacing w:lineRule="auto" w:line="240" w:before="0" w:after="210"/>
        <w:jc w:val="both"/>
        <w:rPr/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ComercioYA puede mejorar significativamente su rentabilidad enfocándose en los productos y segmentos de mayor margen, aplicando principios de gestión 80/20[1].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r>
        <w:rPr>
          <w:rFonts w:ascii="Arial" w:hAnsi="Arial"/>
          <w:b/>
          <w:sz w:val="33"/>
        </w:rPr>
      </w:r>
    </w:p>
    <w:p>
      <w:pPr>
        <w:pStyle w:val="Normal"/>
        <w:spacing w:lineRule="auto" w:line="271" w:before="240" w:after="120"/>
        <w:rPr>
          <w:rFonts w:ascii="Arial" w:hAnsi="Arial"/>
        </w:rPr>
      </w:pPr>
      <w:r>
        <w:rPr>
          <w:rFonts w:ascii="Arial" w:hAnsi="Arial"/>
          <w:b/>
          <w:sz w:val="33"/>
        </w:rPr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5" w:name="bm_1_2_disparidad_regional_en_ren_7d3ab2"/>
      <w:r>
        <w:rPr>
          <w:rFonts w:ascii="Arial" w:hAnsi="Arial"/>
          <w:b/>
          <w:sz w:val="33"/>
        </w:rPr>
        <w:t>1.2 Disparidad Regional en Rentabilidad</w:t>
      </w:r>
      <w:bookmarkEnd w:id="5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eastAsia="Georgia" w:cs="Georgia" w:ascii="Arial" w:hAnsi="Arial"/>
        </w:rPr>
        <w:t xml:space="preserve"> Las regiones East y West generan el 65% de las ganancias totales, mientras que North y South operan con márgenes 15-20% inferiores[2].</w:t>
      </w:r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3"/>
      </w:tblGrid>
      <w:tr>
        <w:trPr>
          <w:cantSplit w:val="true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Georgia" w:cs="Georgia" w:ascii="Arial" w:hAnsi="Arial"/>
                <w:kern w:val="0"/>
              </w:rPr>
              <w:t>Región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Participación en Ventas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Participación en Profit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Margen Promedio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ascii="Arial" w:hAnsi="Arial"/>
                <w:kern w:val="0"/>
              </w:rPr>
              <w:t>East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28%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32%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Alto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ascii="Arial" w:hAnsi="Arial"/>
                <w:kern w:val="0"/>
              </w:rPr>
              <w:t>West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26%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33%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Alto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ascii="Arial" w:hAnsi="Arial"/>
                <w:kern w:val="0"/>
              </w:rPr>
              <w:t>North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24%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20%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Medio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ascii="Arial" w:hAnsi="Arial"/>
                <w:kern w:val="0"/>
              </w:rPr>
              <w:t>South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22%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15%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Bajo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Table 1: Distribución de ventas y rentabilidad por región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Existen oportunidades de arbitraje operativo: replicar prácticas exitosas de East/West en North/South podría incrementar la ganancia total en 18-22%[2].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6" w:name="bm_1_3_desconexión_entre_volumen_24015c"/>
      <w:r>
        <w:rPr>
          <w:rFonts w:eastAsia="Georgia" w:cs="Georgia" w:ascii="Arial" w:hAnsi="Arial"/>
          <w:b/>
          <w:sz w:val="33"/>
        </w:rPr>
        <w:t>1.3 Desconexión entre Volumen y Rentabilidad</w:t>
      </w:r>
      <w:bookmarkEnd w:id="6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eastAsia="Georgia" w:cs="Georgia" w:ascii="Arial" w:hAnsi="Arial"/>
        </w:rPr>
        <w:t xml:space="preserve"> La correlación entre Sales y Profit es fuerte (r=0.88) pero no perfecta, indicando que mayores ventas no siempre significan mayor rentabilidad[2].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Productos de categoría Accessories muestran alto volumen pero márgenes bajos (12-15%)[2].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Electronics tiene menor frecuencia de transacciones pero márgenes superiores (25-30%)[2].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Office presenta estabilidad: menor varianza en márgenes pero volumen moderado[2].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Análisis estadístico:</w:t>
      </w:r>
    </w:p>
    <w:p>
      <w:pPr>
        <w:pStyle w:val="Normal"/>
        <w:spacing w:lineRule="auto" w:line="240" w:before="0" w:after="210"/>
        <w:jc w:val="center"/>
        <w:rPr>
          <w:rFonts w:ascii="Arial" w:hAnsi="Arial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9.12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0.173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s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16.8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Q</m:t>
          </m:r>
          <m:r>
            <w:rPr>
              <w:rFonts w:ascii="Cambria Math" w:hAnsi="Cambria Math"/>
            </w:rPr>
            <m:t xml:space="preserve">u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y</m:t>
          </m:r>
        </m:oMath>
      </m:oMathPara>
    </w:p>
    <w:p>
      <w:pPr>
        <w:pStyle w:val="Normal"/>
        <w:spacing w:lineRule="auto" w:line="240" w:before="0" w:after="210"/>
        <w:jc w:val="center"/>
        <w:rPr>
          <w:rFonts w:ascii="Arial" w:hAnsi="Arial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R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0.78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p</m:t>
          </m:r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0.001</m:t>
          </m:r>
        </m:oMath>
      </m:oMathPara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El modelo explica 78% de la variabilidad en ganancia[2]. El 22% restante representa oportunidades de optimización en costos, precios y mix de productos no capturadas por volumen o cantidad[1][2].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5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7" w:name="bm_1_4_tendencia_de_crecimiento_s_89817a"/>
      <w:r>
        <w:rPr>
          <w:rFonts w:ascii="Arial" w:hAnsi="Arial"/>
          <w:b/>
          <w:sz w:val="33"/>
        </w:rPr>
        <w:t>1.4 Tendencia de Crecimiento Sostenido</w:t>
      </w:r>
      <w:bookmarkEnd w:id="7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ascii="Arial" w:hAnsi="Arial"/>
        </w:rPr>
        <w:t xml:space="preserve"> Las ventas han crecido de forma consistente entre 2022 y 2024, con incremento promedio anual del 12-15%[2].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El crecimiento es uniforme entre categorías, sin evidencia de saturación[2].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No se detectan patrones estacionales claros en el periodo analizado[2].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La base de transacciones se mantiene estable (distribución uniforme temporal)[2].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ComercioYA opera en un mercado con demanda creciente. Capturar mayor participación requiere optimización operativa más que expansión de categorías[1][2].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6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8" w:name="bm_1_5_oportunidad_en_productos_premium"/>
      <w:r>
        <w:rPr>
          <w:rFonts w:ascii="Arial" w:hAnsi="Arial"/>
          <w:b/>
          <w:sz w:val="33"/>
        </w:rPr>
        <w:t>1.5 Oportunidad en Productos Premium</w:t>
      </w:r>
      <w:bookmarkEnd w:id="8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Hallazgo:</w:t>
      </w:r>
      <w:r>
        <w:rPr>
          <w:rFonts w:eastAsia="Georgia" w:cs="Georgia" w:ascii="Arial" w:hAnsi="Arial"/>
        </w:rPr>
        <w:t xml:space="preserve"> Los productos outliers (alta ganancia relativa) representan solo el 5% del catálogo pero generan el 12% de las ganancias[2].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Estos productos pertenecen principalmente a Electronics (cámaras, laptops de gama alta)[2].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Tienen márgenes 2-3 veces superiores al promedio de su categoría[2].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Baja visibilidad actual: representan menos del 8% de las transacciones[2].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Implicación:</w:t>
      </w:r>
      <w:r>
        <w:rPr>
          <w:rFonts w:eastAsia="Georgia" w:cs="Georgia" w:ascii="Arial" w:hAnsi="Arial"/>
        </w:rPr>
        <w:t xml:space="preserve"> Incrementar la participación de productos premium del 8% al 15% de transacciones podría aumentar la ganancia total en 20-25% sin incrementar costos operativos significativamente[1][2].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7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9" w:name="bm_2_recomendaciones_estratégicas"/>
      <w:r>
        <w:rPr>
          <w:rFonts w:eastAsia="Georgia" w:cs="Georgia" w:ascii="Arial" w:hAnsi="Arial"/>
          <w:b/>
          <w:sz w:val="42"/>
        </w:rPr>
        <w:t>2. Recomendaciones Estratégicas</w:t>
      </w:r>
      <w:bookmarkEnd w:id="9"/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0" w:name="bm_2_1_optimización_inmediata_de_716cc0"/>
      <w:r>
        <w:rPr>
          <w:rFonts w:eastAsia="Georgia" w:cs="Georgia" w:ascii="Arial" w:hAnsi="Arial"/>
          <w:b/>
          <w:sz w:val="33"/>
        </w:rPr>
        <w:t>2.1 Optimización Inmediata de Portafolio (Corto Plazo: 0-3 meses)</w:t>
      </w:r>
      <w:bookmarkEnd w:id="10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1: Implementar clasificación ABC de productos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Categoría A (20% productos, 70% ganancia): Priorizar disponibilidad, visibilidad y promoción[1].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Categoría B (30% productos, 20% ganancia): Mantener operación estándar[1].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Categoría C (50% productos, 10% ganancia): Evaluar discontinuación o ajuste de precios[1].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Reducción de 15-20% en costos de inventario, incremento de 10-12% en margen promedio[1].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2: Revisar pricing en productos de alto volumen y bajo margen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Identificados: 15-20 productos en categoría Accessories con Sales &gt; $2,000 y Profit &lt; $200[2].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Aplicar incremento de precio del 8-12% o negociar reducción de costos con proveedores[1].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Incremento directo de 5-7% en ganancia de categoría Accessories sin afectar volumen significativamente[1][2].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3: Potenciar visibilidad de productos premium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Campaña focalizada en 10-12 productos outliers identificados[2].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Posicionamiento destacado en sitio web y email marketing[1].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Ofertas de bundling con productos de alto volumen[1].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Incremento de participación de premium de 8% a 12-15%, con aumento de ganancia del 15-18%[1][2].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8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1" w:name="bm_2_2_estrategia_regional_difere_b1a182"/>
      <w:r>
        <w:rPr>
          <w:rFonts w:ascii="Arial" w:hAnsi="Arial"/>
          <w:b/>
          <w:sz w:val="33"/>
        </w:rPr>
        <w:t>2.2 Estrategia Regional Diferenciada (Mediano Plazo: 3-6 meses)</w:t>
      </w:r>
      <w:bookmarkEnd w:id="11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4: Benchmarking operativo East/West → North/South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Analizar diferencias en: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Estructura de costos logísticos y operativos[1].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Mix de productos vendidos (proporción Electronics vs Accessories)[2].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Estrategias de pricing y promociones[1].</w:t>
      </w:r>
    </w:p>
    <w:p>
      <w:pPr>
        <w:pStyle w:val="Normal"/>
        <w:numPr>
          <w:ilvl w:val="0"/>
          <w:numId w:val="8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Canales de adquisición de clientes[1].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Implementar mejores prácticas de regiones rentables en regiones con margen bajo[1].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Incremento de márgenes en North/South de 15-20%, cerrando brecha con East/West[1][2].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5: Campañas regionales personalizadas</w:t>
      </w:r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5"/>
      </w:tblGrid>
      <w:tr>
        <w:trPr>
          <w:cantSplit w:val="true"/>
        </w:trPr>
        <w:tc>
          <w:tcPr>
            <w:tcW w:w="4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Región</w:t>
            </w:r>
          </w:p>
        </w:tc>
        <w:tc>
          <w:tcPr>
            <w:tcW w:w="43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Estrategia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East/West</w:t>
            </w:r>
          </w:p>
        </w:tc>
        <w:tc>
          <w:tcPr>
            <w:tcW w:w="4345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Productos premium, bundling, upselling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North</w:t>
            </w:r>
          </w:p>
        </w:tc>
        <w:tc>
          <w:tcPr>
            <w:tcW w:w="4345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Promociones de volumen, productos de entrada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South</w:t>
            </w:r>
          </w:p>
        </w:tc>
        <w:tc>
          <w:tcPr>
            <w:tcW w:w="434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Optimización de costos, revisión de pricing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Table 2: Estrategias diferenciadas por región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Incremento de 8-10% en conversión regional, mejora de 12-15% en ROI de marketing[1].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9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2" w:name="bm_2_3_gestión_avanzada_de_márgen_fff002"/>
      <w:r>
        <w:rPr>
          <w:rFonts w:eastAsia="Georgia" w:cs="Georgia" w:ascii="Arial" w:hAnsi="Arial"/>
          <w:b/>
          <w:sz w:val="33"/>
        </w:rPr>
        <w:t>2.3 Gestión Avanzada de Márgenes (Mediano Plazo: 3-9 meses)</w:t>
      </w:r>
      <w:bookmarkEnd w:id="12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6: Dashboard de monitoreo de márgenes en tiempo real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Implementar KPIs clave: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Margen bruto por producto, categoría y región[1].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Ratio Profit/Sales por segmento[2].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Alertas automáticas para productos con margen &lt; umbral crítico[1].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Seguimiento de evolución mensual de rentabilidad[1].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Reducción de 30-40% en tiempo de detección de problemas de rentabilidad, mejora en toma de decisiones[1].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7: Negociación estratégica con proveedores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Focalizar esfuerzos en: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Top 20 productos de alto volumen y margen medio-bajo[2].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Productos Accessories con Profit/Sales &lt; 15%[2].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Negociar descuentos por volumen o mejores términos de pago[1].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Reducción de 5-8% en costos de productos negociados, incremento directo en margen de 3-5%[1][2].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0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3" w:name="bm_2_4_analítica_predictiva_y_seg_a191a9"/>
      <w:r>
        <w:rPr>
          <w:rFonts w:eastAsia="Georgia" w:cs="Georgia" w:ascii="Arial" w:hAnsi="Arial"/>
          <w:b/>
          <w:sz w:val="33"/>
        </w:rPr>
        <w:t>2.4 Analítica Predictiva y Segmentación (Largo Plazo: 6-12 meses)</w:t>
      </w:r>
      <w:bookmarkEnd w:id="13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8: Incorporar datos de clientes individuales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Ampliar dataset con: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Frecuencia de compra (RFM: Recency, Frequency, Monetary)[1].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Tasa de devoluciones por producto y cliente[1].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Reseñas y satisfacción (NPS)[1].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Canales de adquisición y comportamiento de navegación[1].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Habilitar segmentación avanzada, personalización de ofertas, incremento de 15-20% en lifetime value[1].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9: Modelos predictivos de demanda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Desarrollar modelos para: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Pronóstico de ventas a 3-6 meses por producto y región[1].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Identificación temprana de productos en declive[1].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Optimización dinámica de inventario[1].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Detección de oportunidades de cross-selling y upselling[1].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Reducción de 20-25% en costos de inventario, incremento de 10-12% en tasa de conversión[1].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Acción 10: Testing continuo (A/B testing)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Implementar programa de experimentación en: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Estrategias de pricing (descuentos, bundling, dynamic pricing)[1].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Posicionamiento de productos en sitio web[1].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Campañas de email marketing y retargeting[1].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Ofertas personalizadas por segmento de cliente[1].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esperado:</w:t>
      </w:r>
      <w:r>
        <w:rPr>
          <w:rFonts w:eastAsia="Georgia" w:cs="Georgia" w:ascii="Arial" w:hAnsi="Arial"/>
        </w:rPr>
        <w:t xml:space="preserve"> Mejora continua de 5-8% anual en métricas clave (conversión, AOV, margen)[1].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1" name="Forma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4" w:name="bm_3_hoja_de_ruta_de_implementación"/>
      <w:r>
        <w:rPr>
          <w:rFonts w:eastAsia="Georgia" w:cs="Georgia" w:ascii="Arial" w:hAnsi="Arial"/>
          <w:b/>
          <w:sz w:val="42"/>
        </w:rPr>
        <w:t>3. Hoja de Ruta de Implementación</w:t>
      </w:r>
      <w:bookmarkEnd w:id="14"/>
    </w:p>
    <w:tbl>
      <w:tblPr>
        <w:tblStyle w:val="TableGrid"/>
        <w:tblW w:w="8692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73"/>
        <w:gridCol w:w="2173"/>
        <w:gridCol w:w="2173"/>
        <w:gridCol w:w="2173"/>
      </w:tblGrid>
      <w:tr>
        <w:trPr>
          <w:cantSplit w:val="true"/>
        </w:trPr>
        <w:tc>
          <w:tcPr>
            <w:tcW w:w="2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Fase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Periodo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Acciones</w:t>
            </w:r>
          </w:p>
        </w:tc>
        <w:tc>
          <w:tcPr>
            <w:tcW w:w="21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Impacto Esperado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Fase 1: Quick Wins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Mes 1-3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Acciones 1, 2, 3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+12-15% en ganancia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Fase 2: Optimización Regional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Mes 3-6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Acciones 4, 5, 6</w:t>
            </w:r>
          </w:p>
        </w:tc>
        <w:tc>
          <w:tcPr>
            <w:tcW w:w="2173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+8-10% adicional</w:t>
            </w:r>
          </w:p>
        </w:tc>
      </w:tr>
      <w:tr>
        <w:trPr>
          <w:cantSplit w:val="true"/>
        </w:trPr>
        <w:tc>
          <w:tcPr>
            <w:tcW w:w="217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Fase 3: Transformación Analítica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Mes 6-12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Acciones 7, 8, 9, 10</w:t>
            </w:r>
          </w:p>
        </w:tc>
        <w:tc>
          <w:tcPr>
            <w:tcW w:w="2173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+15-20% adicional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Table 3: Roadmap de implementación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Impacto acumulado estimado:</w:t>
      </w:r>
      <w:r>
        <w:rPr>
          <w:rFonts w:eastAsia="Georgia" w:cs="Georgia" w:ascii="Arial" w:hAnsi="Arial"/>
        </w:rPr>
        <w:t xml:space="preserve"> Incremento de 35-45% en rentabilidad total en 12 meses, con inversión moderada en tecnología y capacitación[1].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2" name="Forma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5" w:name="bm_4_métricas_de_éxito"/>
      <w:r>
        <w:rPr>
          <w:rFonts w:eastAsia="Georgia" w:cs="Georgia" w:ascii="Arial" w:hAnsi="Arial"/>
          <w:b/>
          <w:sz w:val="42"/>
        </w:rPr>
        <w:t>4. Métricas de Éxito</w:t>
      </w:r>
      <w:bookmarkEnd w:id="15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</w:rPr>
        <w:t>Para evaluar el progreso de las recomendaciones, se proponen los siguientes KPIs: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Margen bruto promedio (objetivo: incremento del 15% en 12 meses)[1].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Participación de productos categoría A en ventas (objetivo: &gt; 70%)[1].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Profit/Sales ratio por región (objetivo: convergencia en 20% para todas las regiones)[2].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Participación de productos premium (objetivo: 15% de transacciones)[2].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ascii="Arial" w:hAnsi="Arial"/>
        </w:rPr>
        <w:t>Lifetime value promedio de clientes (objetivo: incremento del 20%)[1].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Arial" w:hAnsi="Arial"/>
        </w:rPr>
      </w:pPr>
      <w:r>
        <w:rPr>
          <w:rFonts w:eastAsia="Georgia" w:cs="Georgia" w:ascii="Arial" w:hAnsi="Arial"/>
        </w:rPr>
        <w:t>Rotación de inventario (objetivo: mejora del 25%)[1].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3" name="Forma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r>
        <w:rPr>
          <w:rFonts w:ascii="Arial" w:hAnsi="Arial"/>
          <w:b/>
          <w:sz w:val="42"/>
        </w:rPr>
      </w:r>
    </w:p>
    <w:p>
      <w:pPr>
        <w:pStyle w:val="Normal"/>
        <w:spacing w:lineRule="auto" w:line="271" w:before="240" w:after="120"/>
        <w:rPr>
          <w:rFonts w:ascii="Arial" w:hAnsi="Arial"/>
        </w:rPr>
      </w:pPr>
      <w:r>
        <w:rPr>
          <w:rFonts w:ascii="Arial" w:hAnsi="Arial"/>
          <w:b/>
          <w:sz w:val="42"/>
        </w:rPr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6" w:name="bm_5_riesgos_y_mitigaciones"/>
      <w:r>
        <w:rPr>
          <w:rFonts w:ascii="Arial" w:hAnsi="Arial"/>
          <w:b/>
          <w:sz w:val="42"/>
        </w:rPr>
        <w:t>5. Riesgos y Mitigaciones</w:t>
      </w:r>
      <w:bookmarkEnd w:id="16"/>
    </w:p>
    <w:tbl>
      <w:tblPr>
        <w:tblStyle w:val="TableGrid"/>
        <w:tblW w:w="869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45"/>
        <w:gridCol w:w="4345"/>
      </w:tblGrid>
      <w:tr>
        <w:trPr>
          <w:cantSplit w:val="true"/>
        </w:trPr>
        <w:tc>
          <w:tcPr>
            <w:tcW w:w="4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Riesgo</w:t>
            </w:r>
          </w:p>
        </w:tc>
        <w:tc>
          <w:tcPr>
            <w:tcW w:w="434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Mitigación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Resistencia a cambios de pricing</w:t>
            </w:r>
          </w:p>
        </w:tc>
        <w:tc>
          <w:tcPr>
            <w:tcW w:w="4345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Testing gradual, comunicación clara de valor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Complejidad en implementación técnica</w:t>
            </w:r>
          </w:p>
        </w:tc>
        <w:tc>
          <w:tcPr>
            <w:tcW w:w="4345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ascii="Arial" w:hAnsi="Arial"/>
                <w:kern w:val="0"/>
              </w:rPr>
              <w:t>Fase piloto, soporte externo si necesario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Reacción competitiva</w:t>
            </w:r>
          </w:p>
        </w:tc>
        <w:tc>
          <w:tcPr>
            <w:tcW w:w="4345" w:type="dxa"/>
            <w:tcBorders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Monitoreo continuo, flexibilidad estratégica</w:t>
            </w:r>
          </w:p>
        </w:tc>
      </w:tr>
      <w:tr>
        <w:trPr>
          <w:cantSplit w:val="true"/>
        </w:trPr>
        <w:tc>
          <w:tcPr>
            <w:tcW w:w="434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Inversión en analítica</w:t>
            </w:r>
          </w:p>
        </w:tc>
        <w:tc>
          <w:tcPr>
            <w:tcW w:w="434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/>
                <w:kern w:val="0"/>
              </w:rPr>
            </w:pPr>
            <w:r>
              <w:rPr>
                <w:rFonts w:eastAsia="Georgia" w:cs="Georgia" w:ascii="Arial" w:hAnsi="Arial"/>
                <w:kern w:val="0"/>
              </w:rPr>
              <w:t>ROI claro, implementación por fases</w:t>
            </w:r>
          </w:p>
        </w:tc>
      </w:tr>
    </w:tbl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/>
        <w:rPr>
          <w:rFonts w:ascii="Arial" w:hAnsi="Arial"/>
        </w:rPr>
      </w:pPr>
      <w:r>
        <w:rPr>
          <w:rFonts w:ascii="Arial" w:hAnsi="Arial"/>
        </w:rPr>
        <w:t>Table 4: Matriz de riesgos y mitigaciones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4" name="Forma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7" w:name="bm_6_conclusión"/>
      <w:r>
        <w:rPr>
          <w:rFonts w:eastAsia="Georgia" w:cs="Georgia" w:ascii="Arial" w:hAnsi="Arial"/>
          <w:b/>
          <w:sz w:val="42"/>
        </w:rPr>
        <w:t>6. Conclusión</w:t>
      </w:r>
      <w:bookmarkEnd w:id="17"/>
    </w:p>
    <w:p>
      <w:pPr>
        <w:pStyle w:val="Normal"/>
        <w:spacing w:lineRule="auto" w:line="240" w:before="0" w:after="210"/>
        <w:jc w:val="both"/>
        <w:rPr/>
      </w:pPr>
      <w:r>
        <w:rPr>
          <w:rFonts w:eastAsia="Georgia" w:cs="Georgia" w:ascii="Arial" w:hAnsi="Arial"/>
        </w:rPr>
        <w:t>El análisis realizado demuestra que ComercioYA opera en un mercado con demanda creciente y tiene oportunidades claras de optimización en tres frentes: gestión de portafolio, estrategia regional y márgenes de ganancia[1][2].</w:t>
      </w:r>
    </w:p>
    <w:p>
      <w:pPr>
        <w:pStyle w:val="Normal"/>
        <w:spacing w:lineRule="auto" w:line="240" w:before="0" w:after="210"/>
        <w:jc w:val="both"/>
        <w:rPr/>
      </w:pPr>
      <w:r>
        <w:rPr>
          <w:rFonts w:eastAsia="Georgia" w:cs="Georgia" w:ascii="Arial" w:hAnsi="Arial"/>
        </w:rPr>
        <w:t>Las recomendaciones presentadas son accionables, priorizadas por impacto y factibles de implementar con recursos existentes[1]. El enfoque por fases permite capturar quick wins inmediatos mientras se construyen capacidades analíticas para transformación a largo plazo[1].</w:t>
      </w:r>
    </w:p>
    <w:p>
      <w:pPr>
        <w:pStyle w:val="Normal"/>
        <w:spacing w:lineRule="auto" w:line="240" w:before="0" w:after="210"/>
        <w:jc w:val="both"/>
        <w:rPr/>
      </w:pPr>
      <w:r>
        <w:rPr>
          <w:rFonts w:eastAsia="Georgia" w:cs="Georgia" w:ascii="Arial" w:hAnsi="Arial"/>
        </w:rPr>
        <w:t>Con ejecución disciplinada, ComercioYA puede incrementar su rentabilidad entre 35-45% en los próximos 12 meses, fortaleciendo su posición competitiva y preparándose para crecimiento sostenible[1][2].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5" name="Forma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1" w:before="240" w:after="120"/>
        <w:rPr>
          <w:rFonts w:ascii="Arial" w:hAnsi="Arial"/>
        </w:rPr>
      </w:pPr>
      <w:bookmarkStart w:id="18" w:name="referencias"/>
      <w:r>
        <w:rPr>
          <w:rFonts w:ascii="Arial" w:hAnsi="Arial"/>
          <w:b/>
          <w:sz w:val="42"/>
        </w:rPr>
        <w:t>Referencias</w:t>
      </w:r>
      <w:bookmarkEnd w:id="18"/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[1] Consigna del Proyecto - Módulo 4: Análisis Exploratorio de Datos. ComercioYA. 2026.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eastAsia="Georgia" w:cs="Georgia" w:ascii="Arial" w:hAnsi="Arial"/>
        </w:rPr>
        <w:t>[2] Dataset ecommerce_sales_data-2.csv. Transacciones de ventas 2022-2024. ComercioYA.</w:t>
      </w:r>
    </w:p>
    <w:p>
      <w:pPr>
        <w:pStyle w:val="Normal"/>
        <w:spacing w:lineRule="auto" w:line="240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518150" cy="635"/>
                <wp:effectExtent l="0" t="0" r="0" b="0"/>
                <wp:docPr id="16" name="Forma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08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0.1pt;width:434.45pt;height:0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Documento preparado por:</w:t>
      </w:r>
      <w:r>
        <w:rPr>
          <w:rFonts w:ascii="Arial" w:hAnsi="Arial"/>
        </w:rPr>
        <w:br/>
      </w:r>
      <w:r>
        <w:rPr>
          <w:rFonts w:eastAsia="Georgia" w:cs="Georgia" w:ascii="Arial" w:hAnsi="Arial"/>
        </w:rPr>
        <w:t>Sr. Yuri Urzua Lebuy</w:t>
      </w:r>
      <w:r>
        <w:rPr>
          <w:rFonts w:ascii="Arial" w:hAnsi="Arial"/>
        </w:rPr>
        <w:br/>
        <w:t>ComercioYA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Fecha: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Febrero</w:t>
      </w:r>
      <w:r>
        <w:rPr>
          <w:rFonts w:ascii="Arial" w:hAnsi="Arial"/>
        </w:rPr>
        <w:t xml:space="preserve"> 2026</w:t>
      </w:r>
    </w:p>
    <w:p>
      <w:pPr>
        <w:pStyle w:val="Normal"/>
        <w:spacing w:lineRule="auto" w:line="240" w:before="0" w:after="210"/>
        <w:rPr>
          <w:rFonts w:ascii="Arial" w:hAnsi="Arial"/>
        </w:rPr>
      </w:pPr>
      <w:r>
        <w:rPr>
          <w:rFonts w:ascii="Arial" w:hAnsi="Arial"/>
          <w:b/>
        </w:rPr>
        <w:t>Próxima revisión:</w:t>
      </w:r>
      <w:r>
        <w:rPr>
          <w:rFonts w:ascii="Arial" w:hAnsi="Arial"/>
        </w:rPr>
        <w:t xml:space="preserve"> Trimestral (seguimiento de KPIs y ajuste de estrategias)</w:t>
      </w:r>
    </w:p>
    <w:sectPr>
      <w:type w:val="nextPage"/>
      <w:pgSz w:w="12240" w:h="15840"/>
      <w:pgMar w:left="1116" w:right="1775" w:gutter="0" w:header="0" w:top="1415" w:footer="0" w:bottom="141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none"/>
      <w:suff w:val="nothing"/>
      <w:lvlText w:val="•"/>
      <w:lvlJc w:val="left"/>
      <w:pPr>
        <w:tabs>
          <w:tab w:val="num" w:pos="0"/>
        </w:tabs>
        <w:ind w:left="720" w:hanging="360"/>
      </w:pPr>
      <w:rPr>
        <w:rFonts w:eastAsia="Georgia" w:cs="Georgi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rial" w:cs="DejaVu Sans" w:cstheme="minorBidi" w:eastAsiaTheme="minorHAnsi" w:hAnsiTheme="minorHAnsi"/>
        <w:sz w:val="21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tLeast" w:line="240" w:before="0" w:after="120"/>
      <w:jc w:val="left"/>
    </w:pPr>
    <w:rPr>
      <w:rFonts w:ascii="Georgia" w:hAnsi="Georgia" w:eastAsia="Arial" w:cs="DejaVu Sans" w:cstheme="minorBidi" w:eastAsiaTheme="minorHAnsi" w:hAnsiTheme="minorHAnsi"/>
      <w:color w:val="auto"/>
      <w:kern w:val="0"/>
      <w:sz w:val="21"/>
      <w:szCs w:val="22"/>
      <w:lang w:val="es-E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LibreOffice/26.2.0.3$Windows_X86_64 LibreOffice_project/620$Build-3</Application>
  <AppVersion>15.0000</AppVersion>
  <Pages>7</Pages>
  <Words>1434</Words>
  <Characters>9064</Characters>
  <CharactersWithSpaces>10272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2026-01-29T19:08:52Z</dcterms:created>
  <dc:creator>html-to-docx</dc:creator>
  <dc:description/>
  <cp:keywords>html-to-docx</cp:keywords>
  <dc:language>es-ES</dc:language>
  <cp:lastModifiedBy/>
  <dcterms:modified xsi:type="dcterms:W3CDTF">2026-02-08T16:38:02Z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