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uli" w:cs="Muli" w:eastAsia="Muli" w:hAnsi="Muli"/>
          <w:color w:val="ffffff"/>
          <w:sz w:val="88"/>
          <w:szCs w:val="88"/>
        </w:rPr>
      </w:pPr>
      <w:r w:rsidDel="00000000" w:rsidR="00000000" w:rsidRPr="00000000">
        <w:rPr>
          <w:rFonts w:ascii="Muli" w:cs="Muli" w:eastAsia="Muli" w:hAnsi="Muli"/>
          <w:color w:val="ffffff"/>
          <w:sz w:val="88"/>
          <w:szCs w:val="88"/>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77138" cy="10706100"/>
            <wp:effectExtent b="0" l="0" r="0" t="0"/>
            <wp:wrapNone/>
            <wp:docPr id="1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77138" cy="107061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both"/>
        <w:rPr>
          <w:rFonts w:ascii="Muli" w:cs="Muli" w:eastAsia="Muli" w:hAnsi="Muli"/>
          <w:color w:val="ffffff"/>
          <w:sz w:val="88"/>
          <w:szCs w:val="88"/>
        </w:rPr>
      </w:pPr>
      <w:r w:rsidDel="00000000" w:rsidR="00000000" w:rsidRPr="00000000">
        <w:rPr>
          <w:rtl w:val="0"/>
        </w:rPr>
      </w:r>
    </w:p>
    <w:p w:rsidR="00000000" w:rsidDel="00000000" w:rsidP="00000000" w:rsidRDefault="00000000" w:rsidRPr="00000000" w14:paraId="00000003">
      <w:pPr>
        <w:spacing w:after="0" w:line="276" w:lineRule="auto"/>
        <w:ind w:left="0" w:firstLine="0"/>
        <w:rPr>
          <w:rFonts w:ascii="Muli" w:cs="Muli" w:eastAsia="Muli" w:hAnsi="Muli"/>
          <w:color w:val="ffffff"/>
          <w:sz w:val="70"/>
          <w:szCs w:val="70"/>
        </w:rPr>
      </w:pPr>
      <w:r w:rsidDel="00000000" w:rsidR="00000000" w:rsidRPr="00000000">
        <w:rPr>
          <w:rtl w:val="0"/>
        </w:rPr>
      </w:r>
    </w:p>
    <w:p w:rsidR="00000000" w:rsidDel="00000000" w:rsidP="00000000" w:rsidRDefault="00000000" w:rsidRPr="00000000" w14:paraId="00000004">
      <w:pPr>
        <w:spacing w:after="0" w:line="276" w:lineRule="auto"/>
        <w:ind w:left="0" w:firstLine="0"/>
        <w:rPr>
          <w:rFonts w:ascii="Muli" w:cs="Muli" w:eastAsia="Muli" w:hAnsi="Muli"/>
          <w:color w:val="ffffff"/>
          <w:sz w:val="70"/>
          <w:szCs w:val="70"/>
        </w:rPr>
      </w:pPr>
      <w:r w:rsidDel="00000000" w:rsidR="00000000" w:rsidRPr="00000000">
        <w:rPr>
          <w:rtl w:val="0"/>
        </w:rPr>
      </w:r>
    </w:p>
    <w:p w:rsidR="00000000" w:rsidDel="00000000" w:rsidP="00000000" w:rsidRDefault="00000000" w:rsidRPr="00000000" w14:paraId="00000005">
      <w:pPr>
        <w:spacing w:after="0" w:line="276" w:lineRule="auto"/>
        <w:ind w:left="0" w:firstLine="0"/>
        <w:rPr>
          <w:rFonts w:ascii="Muli" w:cs="Muli" w:eastAsia="Muli" w:hAnsi="Muli"/>
          <w:sz w:val="66"/>
          <w:szCs w:val="66"/>
        </w:rPr>
      </w:pPr>
      <w:r w:rsidDel="00000000" w:rsidR="00000000" w:rsidRPr="00000000">
        <w:rPr>
          <w:rFonts w:ascii="Muli" w:cs="Muli" w:eastAsia="Muli" w:hAnsi="Muli"/>
          <w:sz w:val="66"/>
          <w:szCs w:val="66"/>
          <w:rtl w:val="0"/>
        </w:rPr>
        <w:t xml:space="preserve">Análisis de Caso</w:t>
      </w:r>
    </w:p>
    <w:p w:rsidR="00000000" w:rsidDel="00000000" w:rsidP="00000000" w:rsidRDefault="00000000" w:rsidRPr="00000000" w14:paraId="00000006">
      <w:pPr>
        <w:spacing w:after="0" w:line="276" w:lineRule="auto"/>
        <w:ind w:left="0" w:firstLine="0"/>
        <w:rPr>
          <w:rFonts w:ascii="Muli" w:cs="Muli" w:eastAsia="Muli" w:hAnsi="Muli"/>
          <w:sz w:val="20"/>
          <w:szCs w:val="20"/>
        </w:rPr>
      </w:pPr>
      <w:r w:rsidDel="00000000" w:rsidR="00000000" w:rsidRPr="00000000">
        <w:rPr>
          <w:rFonts w:ascii="Muli" w:cs="Muli" w:eastAsia="Muli" w:hAnsi="Muli"/>
          <w:sz w:val="20"/>
          <w:szCs w:val="20"/>
          <w:rtl w:val="0"/>
        </w:rPr>
        <w:t xml:space="preserve">_________________________________________________________________________________________</w:t>
      </w:r>
    </w:p>
    <w:p w:rsidR="00000000" w:rsidDel="00000000" w:rsidP="00000000" w:rsidRDefault="00000000" w:rsidRPr="00000000" w14:paraId="00000007">
      <w:pPr>
        <w:rPr>
          <w:rFonts w:ascii="Muli" w:cs="Muli" w:eastAsia="Muli" w:hAnsi="Muli"/>
          <w:color w:val="ffffff"/>
          <w:sz w:val="40"/>
          <w:szCs w:val="40"/>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pPr>
      <w:r w:rsidDel="00000000" w:rsidR="00000000" w:rsidRPr="00000000">
        <w:rPr>
          <w:rFonts w:ascii="Muli" w:cs="Muli" w:eastAsia="Muli" w:hAnsi="Muli"/>
          <w:sz w:val="40"/>
          <w:szCs w:val="40"/>
          <w:rtl w:val="0"/>
        </w:rPr>
        <w:t xml:space="preserve">Técnicas de reducción dimensional👨🏻‍💻</w:t>
      </w:r>
      <w:r w:rsidDel="00000000" w:rsidR="00000000" w:rsidRPr="00000000">
        <w:rPr>
          <w:rFonts w:ascii="Muli" w:cs="Muli" w:eastAsia="Muli" w:hAnsi="Muli"/>
          <w:color w:val="ffffff"/>
          <w:sz w:val="40"/>
          <w:szCs w:val="40"/>
          <w:rtl w:val="0"/>
        </w:rPr>
        <w:t xml:space="preserve"> </w:t>
      </w:r>
    </w:p>
    <w:p w:rsidR="00000000" w:rsidDel="00000000" w:rsidP="00000000" w:rsidRDefault="00000000" w:rsidRPr="00000000" w14:paraId="00000008">
      <w:pPr>
        <w:pStyle w:val="Title"/>
        <w:spacing w:after="0" w:lineRule="auto"/>
        <w:rPr>
          <w:rFonts w:ascii="Muli" w:cs="Muli" w:eastAsia="Muli" w:hAnsi="Muli"/>
          <w:b w:val="1"/>
          <w:sz w:val="56"/>
          <w:szCs w:val="56"/>
        </w:rPr>
      </w:pPr>
      <w:bookmarkStart w:colFirst="0" w:colLast="0" w:name="_heading=h.gjdgxs" w:id="0"/>
      <w:bookmarkEnd w:id="0"/>
      <w:r w:rsidDel="00000000" w:rsidR="00000000" w:rsidRPr="00000000">
        <w:rPr>
          <w:rFonts w:ascii="Muli" w:cs="Muli" w:eastAsia="Muli" w:hAnsi="Muli"/>
          <w:b w:val="1"/>
          <w:sz w:val="56"/>
          <w:szCs w:val="56"/>
          <w:rtl w:val="0"/>
        </w:rPr>
        <w:t xml:space="preserve">Análisis de Caso</w:t>
      </w:r>
    </w:p>
    <w:p w:rsidR="00000000" w:rsidDel="00000000" w:rsidP="00000000" w:rsidRDefault="00000000" w:rsidRPr="00000000" w14:paraId="00000009">
      <w:pPr>
        <w:pStyle w:val="Title"/>
        <w:spacing w:after="240" w:before="0" w:line="360" w:lineRule="auto"/>
        <w:jc w:val="both"/>
        <w:rPr>
          <w:rFonts w:ascii="Muli" w:cs="Muli" w:eastAsia="Muli" w:hAnsi="Muli"/>
          <w:sz w:val="24"/>
          <w:szCs w:val="24"/>
        </w:rPr>
      </w:pPr>
      <w:bookmarkStart w:colFirst="0" w:colLast="0" w:name="_heading=h.30j0zll" w:id="1"/>
      <w:bookmarkEnd w:id="1"/>
      <w:r w:rsidDel="00000000" w:rsidR="00000000" w:rsidRPr="00000000">
        <w:rPr>
          <w:rFonts w:ascii="Muli" w:cs="Muli" w:eastAsia="Muli" w:hAnsi="Muli"/>
          <w:b w:val="1"/>
          <w:sz w:val="26"/>
          <w:szCs w:val="26"/>
          <w:rtl w:val="0"/>
        </w:rPr>
        <w:t xml:space="preserve">Lección: </w:t>
      </w:r>
      <w:r w:rsidDel="00000000" w:rsidR="00000000" w:rsidRPr="00000000">
        <w:rPr>
          <w:rFonts w:ascii="Muli" w:cs="Muli" w:eastAsia="Muli" w:hAnsi="Muli"/>
          <w:i w:val="1"/>
          <w:sz w:val="26"/>
          <w:szCs w:val="26"/>
          <w:rtl w:val="0"/>
        </w:rPr>
        <w:t xml:space="preserve">Técnicas de reducción dimensional</w:t>
      </w:r>
      <w:r w:rsidDel="00000000" w:rsidR="00000000" w:rsidRPr="00000000">
        <w:rPr>
          <w:rtl w:val="0"/>
        </w:rPr>
      </w:r>
    </w:p>
    <w:p w:rsidR="00000000" w:rsidDel="00000000" w:rsidP="00000000" w:rsidRDefault="00000000" w:rsidRPr="00000000" w14:paraId="0000000A">
      <w:pPr>
        <w:pStyle w:val="Heading2"/>
        <w:spacing w:after="240" w:before="240" w:lineRule="auto"/>
        <w:jc w:val="both"/>
        <w:rPr>
          <w:rFonts w:ascii="Muli" w:cs="Muli" w:eastAsia="Muli" w:hAnsi="Muli"/>
          <w:sz w:val="36"/>
          <w:szCs w:val="36"/>
        </w:rPr>
      </w:pPr>
      <w:bookmarkStart w:colFirst="0" w:colLast="0" w:name="_heading=h.e2cmmgaev4p" w:id="2"/>
      <w:bookmarkEnd w:id="2"/>
      <w:r w:rsidDel="00000000" w:rsidR="00000000" w:rsidRPr="00000000">
        <w:rPr>
          <w:rFonts w:ascii="Muli" w:cs="Muli" w:eastAsia="Muli" w:hAnsi="Muli"/>
          <w:sz w:val="36"/>
          <w:szCs w:val="36"/>
          <w:rtl w:val="0"/>
        </w:rPr>
        <w:t xml:space="preserve">Situación inicial 📍</w:t>
      </w:r>
    </w:p>
    <w:p w:rsidR="00000000" w:rsidDel="00000000" w:rsidP="00000000" w:rsidRDefault="00000000" w:rsidRPr="00000000" w14:paraId="0000000B">
      <w:pPr>
        <w:spacing w:after="240" w:before="240" w:lineRule="auto"/>
        <w:jc w:val="both"/>
        <w:rPr>
          <w:rFonts w:ascii="Muli" w:cs="Muli" w:eastAsia="Muli" w:hAnsi="Muli"/>
          <w:sz w:val="24"/>
          <w:szCs w:val="24"/>
        </w:rPr>
      </w:pPr>
      <w:r w:rsidDel="00000000" w:rsidR="00000000" w:rsidRPr="00000000">
        <w:rPr>
          <w:rFonts w:ascii="Muli" w:cs="Muli" w:eastAsia="Muli" w:hAnsi="Muli"/>
          <w:sz w:val="24"/>
          <w:szCs w:val="24"/>
          <w:rtl w:val="0"/>
        </w:rPr>
        <w:t xml:space="preserve">La empresa </w:t>
      </w:r>
      <w:r w:rsidDel="00000000" w:rsidR="00000000" w:rsidRPr="00000000">
        <w:rPr>
          <w:rFonts w:ascii="Muli" w:cs="Muli" w:eastAsia="Muli" w:hAnsi="Muli"/>
          <w:i w:val="1"/>
          <w:sz w:val="24"/>
          <w:szCs w:val="24"/>
          <w:rtl w:val="0"/>
        </w:rPr>
        <w:t xml:space="preserve">DataMed Analytics</w:t>
      </w:r>
      <w:r w:rsidDel="00000000" w:rsidR="00000000" w:rsidRPr="00000000">
        <w:rPr>
          <w:rFonts w:ascii="Muli" w:cs="Muli" w:eastAsia="Muli" w:hAnsi="Muli"/>
          <w:sz w:val="24"/>
          <w:szCs w:val="24"/>
          <w:rtl w:val="0"/>
        </w:rPr>
        <w:t xml:space="preserve">, especializada en el análisis de datos clínicos, ha comenzado a trabajar con un nuevo cliente: un centro médico que ha recopilado información detallada de pacientes en estudios neurológicos. El dataset contiene más de 100 variables por paciente, incluyendo datos biométricos, genéticos, de historial clínico y resultados de estudios por imágenes procesados numéricamente. Sin embargo, al intentar entrenar modelos de clasificación para diagnóstico temprano de enfermedades neurodegenerativas, el equipo técnico ha identificado problemas como sobreajuste, largos tiempos de procesamiento y baja interpretabilidad.</w:t>
      </w:r>
    </w:p>
    <w:p w:rsidR="00000000" w:rsidDel="00000000" w:rsidP="00000000" w:rsidRDefault="00000000" w:rsidRPr="00000000" w14:paraId="0000000C">
      <w:pPr>
        <w:spacing w:after="240" w:before="240" w:lineRule="auto"/>
        <w:jc w:val="both"/>
        <w:rPr>
          <w:rFonts w:ascii="Muli" w:cs="Muli" w:eastAsia="Muli" w:hAnsi="Muli"/>
          <w:sz w:val="24"/>
          <w:szCs w:val="24"/>
        </w:rPr>
      </w:pPr>
      <w:r w:rsidDel="00000000" w:rsidR="00000000" w:rsidRPr="00000000">
        <w:rPr>
          <w:rFonts w:ascii="Muli" w:cs="Muli" w:eastAsia="Muli" w:hAnsi="Muli"/>
          <w:sz w:val="24"/>
          <w:szCs w:val="24"/>
          <w:rtl w:val="0"/>
        </w:rPr>
        <w:t xml:space="preserve">El equipo de Ciencia de Datos ha concluido que se necesita aplicar </w:t>
      </w:r>
      <w:r w:rsidDel="00000000" w:rsidR="00000000" w:rsidRPr="00000000">
        <w:rPr>
          <w:rFonts w:ascii="Muli" w:cs="Muli" w:eastAsia="Muli" w:hAnsi="Muli"/>
          <w:b w:val="1"/>
          <w:sz w:val="24"/>
          <w:szCs w:val="24"/>
          <w:rtl w:val="0"/>
        </w:rPr>
        <w:t xml:space="preserve">técnicas de reducción dimensional</w:t>
      </w:r>
      <w:r w:rsidDel="00000000" w:rsidR="00000000" w:rsidRPr="00000000">
        <w:rPr>
          <w:rFonts w:ascii="Muli" w:cs="Muli" w:eastAsia="Muli" w:hAnsi="Muli"/>
          <w:sz w:val="24"/>
          <w:szCs w:val="24"/>
          <w:rtl w:val="0"/>
        </w:rPr>
        <w:t xml:space="preserve"> para simplificar los datos, mejorar el rendimiento de los modelos y facilitar la visualización de patrones complejos. El tiempo apremia, ya que el centro médico espera una primera versión del modelo funcional en menos de dos semanas.</w:t>
      </w:r>
    </w:p>
    <w:p w:rsidR="00000000" w:rsidDel="00000000" w:rsidP="00000000" w:rsidRDefault="00000000" w:rsidRPr="00000000" w14:paraId="0000000D">
      <w:pPr>
        <w:pStyle w:val="Heading2"/>
        <w:spacing w:after="240" w:before="240" w:lineRule="auto"/>
        <w:jc w:val="both"/>
        <w:rPr>
          <w:rFonts w:ascii="Muli" w:cs="Muli" w:eastAsia="Muli" w:hAnsi="Muli"/>
          <w:sz w:val="36"/>
          <w:szCs w:val="36"/>
        </w:rPr>
      </w:pPr>
      <w:bookmarkStart w:colFirst="0" w:colLast="0" w:name="_heading=h.th41apueu4x2" w:id="3"/>
      <w:bookmarkEnd w:id="3"/>
      <w:r w:rsidDel="00000000" w:rsidR="00000000" w:rsidRPr="00000000">
        <w:rPr>
          <w:rFonts w:ascii="Muli" w:cs="Muli" w:eastAsia="Muli" w:hAnsi="Muli"/>
          <w:sz w:val="36"/>
          <w:szCs w:val="36"/>
          <w:rtl w:val="0"/>
        </w:rPr>
        <w:t xml:space="preserve">Descripción del Caso 🔎</w:t>
      </w:r>
    </w:p>
    <w:p w:rsidR="00000000" w:rsidDel="00000000" w:rsidP="00000000" w:rsidRDefault="00000000" w:rsidRPr="00000000" w14:paraId="0000000E">
      <w:pPr>
        <w:spacing w:after="240" w:before="240" w:lineRule="auto"/>
        <w:jc w:val="both"/>
        <w:rPr>
          <w:rFonts w:ascii="Muli" w:cs="Muli" w:eastAsia="Muli" w:hAnsi="Muli"/>
          <w:sz w:val="24"/>
          <w:szCs w:val="24"/>
        </w:rPr>
      </w:pPr>
      <w:r w:rsidDel="00000000" w:rsidR="00000000" w:rsidRPr="00000000">
        <w:rPr>
          <w:rFonts w:ascii="Muli" w:cs="Muli" w:eastAsia="Muli" w:hAnsi="Muli"/>
          <w:sz w:val="24"/>
          <w:szCs w:val="24"/>
          <w:rtl w:val="0"/>
        </w:rPr>
        <w:t xml:space="preserve">Como científico/a de datos junior en </w:t>
      </w:r>
      <w:r w:rsidDel="00000000" w:rsidR="00000000" w:rsidRPr="00000000">
        <w:rPr>
          <w:rFonts w:ascii="Muli" w:cs="Muli" w:eastAsia="Muli" w:hAnsi="Muli"/>
          <w:i w:val="1"/>
          <w:sz w:val="24"/>
          <w:szCs w:val="24"/>
          <w:rtl w:val="0"/>
        </w:rPr>
        <w:t xml:space="preserve">DataMed Analytics</w:t>
      </w:r>
      <w:r w:rsidDel="00000000" w:rsidR="00000000" w:rsidRPr="00000000">
        <w:rPr>
          <w:rFonts w:ascii="Muli" w:cs="Muli" w:eastAsia="Muli" w:hAnsi="Muli"/>
          <w:sz w:val="24"/>
          <w:szCs w:val="24"/>
          <w:rtl w:val="0"/>
        </w:rPr>
        <w:t xml:space="preserve">, tu rol será asistir en el análisis exploratorio y aplicación de técnicas de reducción dimensional sobre el dataset clínico. Tu objetivo es identificar la técnica adecuada (entre PCA y t-SNE), aplicarla correctamente y entregar un reporte técnico con visualizaciones y reflexiones. Esta tarea es clave para orientar al equipo hacia una estrategia de modelado más eficiente.</w:t>
      </w:r>
    </w:p>
    <w:p w:rsidR="00000000" w:rsidDel="00000000" w:rsidP="00000000" w:rsidRDefault="00000000" w:rsidRPr="00000000" w14:paraId="0000000F">
      <w:pPr>
        <w:spacing w:after="240" w:before="240" w:lineRule="auto"/>
        <w:jc w:val="both"/>
        <w:rPr>
          <w:rFonts w:ascii="Muli" w:cs="Muli" w:eastAsia="Muli" w:hAnsi="Muli"/>
          <w:sz w:val="24"/>
          <w:szCs w:val="24"/>
        </w:rPr>
      </w:pPr>
      <w:r w:rsidDel="00000000" w:rsidR="00000000" w:rsidRPr="00000000">
        <w:rPr>
          <w:rFonts w:ascii="Muli" w:cs="Muli" w:eastAsia="Muli" w:hAnsi="Muli"/>
          <w:sz w:val="24"/>
          <w:szCs w:val="24"/>
          <w:rtl w:val="0"/>
        </w:rPr>
        <w:t xml:space="preserve">Además, tus resultados se compartirán con el equipo de visualización de datos, por lo que la claridad gráfica y la interpretación de resultados será tan importante como la parte técnica.</w:t>
      </w:r>
    </w:p>
    <w:p w:rsidR="00000000" w:rsidDel="00000000" w:rsidP="00000000" w:rsidRDefault="00000000" w:rsidRPr="00000000" w14:paraId="00000010">
      <w:pPr>
        <w:pStyle w:val="Heading2"/>
        <w:spacing w:after="240" w:before="240" w:lineRule="auto"/>
        <w:jc w:val="both"/>
        <w:rPr>
          <w:rFonts w:ascii="Muli" w:cs="Muli" w:eastAsia="Muli" w:hAnsi="Muli"/>
          <w:sz w:val="36"/>
          <w:szCs w:val="36"/>
        </w:rPr>
      </w:pPr>
      <w:bookmarkStart w:colFirst="0" w:colLast="0" w:name="_heading=h.lo7kj1z1wk0w" w:id="4"/>
      <w:bookmarkEnd w:id="4"/>
      <w:r w:rsidDel="00000000" w:rsidR="00000000" w:rsidRPr="00000000">
        <w:rPr>
          <w:rFonts w:ascii="Muli" w:cs="Muli" w:eastAsia="Muli" w:hAnsi="Muli"/>
          <w:sz w:val="36"/>
          <w:szCs w:val="36"/>
          <w:rtl w:val="0"/>
        </w:rPr>
        <w:t xml:space="preserve">Instrucciones 💡</w:t>
      </w:r>
    </w:p>
    <w:p w:rsidR="00000000" w:rsidDel="00000000" w:rsidP="00000000" w:rsidRDefault="00000000" w:rsidRPr="00000000" w14:paraId="00000011">
      <w:pPr>
        <w:spacing w:after="240" w:before="240" w:lineRule="auto"/>
        <w:jc w:val="both"/>
        <w:rPr>
          <w:rFonts w:ascii="Muli" w:cs="Muli" w:eastAsia="Muli" w:hAnsi="Muli"/>
          <w:sz w:val="24"/>
          <w:szCs w:val="24"/>
        </w:rPr>
      </w:pPr>
      <w:r w:rsidDel="00000000" w:rsidR="00000000" w:rsidRPr="00000000">
        <w:rPr>
          <w:rFonts w:ascii="Muli" w:cs="Muli" w:eastAsia="Muli" w:hAnsi="Muli"/>
          <w:sz w:val="24"/>
          <w:szCs w:val="24"/>
          <w:rtl w:val="0"/>
        </w:rPr>
        <w:t xml:space="preserve">Deberás completar las siguientes tareas:</w:t>
      </w:r>
    </w:p>
    <w:p w:rsidR="00000000" w:rsidDel="00000000" w:rsidP="00000000" w:rsidRDefault="00000000" w:rsidRPr="00000000" w14:paraId="00000012">
      <w:pPr>
        <w:numPr>
          <w:ilvl w:val="0"/>
          <w:numId w:val="2"/>
        </w:numPr>
        <w:spacing w:after="0" w:afterAutospacing="0" w:before="24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Carga y análisis exploratorio inicial del dataset</w:t>
      </w:r>
      <w:r w:rsidDel="00000000" w:rsidR="00000000" w:rsidRPr="00000000">
        <w:rPr>
          <w:rFonts w:ascii="Muli" w:cs="Muli" w:eastAsia="Muli" w:hAnsi="Muli"/>
          <w:sz w:val="24"/>
          <w:szCs w:val="24"/>
          <w:rtl w:val="0"/>
        </w:rPr>
        <w:t xml:space="preserve"> (puedes usar un dataset clínico simulado o real de UCI Machine Learning Repository).</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Aplicación de StandardScaler</w:t>
      </w:r>
      <w:r w:rsidDel="00000000" w:rsidR="00000000" w:rsidRPr="00000000">
        <w:rPr>
          <w:rFonts w:ascii="Muli" w:cs="Muli" w:eastAsia="Muli" w:hAnsi="Muli"/>
          <w:sz w:val="24"/>
          <w:szCs w:val="24"/>
          <w:rtl w:val="0"/>
        </w:rPr>
        <w:t xml:space="preserve"> para preparar los datos.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Aplicación de PCA</w:t>
      </w:r>
      <w:r w:rsidDel="00000000" w:rsidR="00000000" w:rsidRPr="00000000">
        <w:rPr>
          <w:rFonts w:ascii="Muli" w:cs="Muli" w:eastAsia="Muli" w:hAnsi="Muli"/>
          <w:sz w:val="24"/>
          <w:szCs w:val="24"/>
          <w:rtl w:val="0"/>
        </w:rPr>
        <w:t xml:space="preserve">:</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Elegir el número óptimo de componentes a retener.</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Visualizar los datos reducidos en 2D.</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Analizar la varianza explicada por cada componente.</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Aplicación de t-SNE</w:t>
      </w:r>
      <w:r w:rsidDel="00000000" w:rsidR="00000000" w:rsidRPr="00000000">
        <w:rPr>
          <w:rFonts w:ascii="Muli" w:cs="Muli" w:eastAsia="Muli" w:hAnsi="Muli"/>
          <w:sz w:val="24"/>
          <w:szCs w:val="24"/>
          <w:rtl w:val="0"/>
        </w:rPr>
        <w:t xml:space="preserve">:</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Determinar parámetros como </w:t>
      </w:r>
      <w:r w:rsidDel="00000000" w:rsidR="00000000" w:rsidRPr="00000000">
        <w:rPr>
          <w:rFonts w:ascii="Roboto Mono" w:cs="Roboto Mono" w:eastAsia="Roboto Mono" w:hAnsi="Roboto Mono"/>
          <w:color w:val="188038"/>
          <w:sz w:val="24"/>
          <w:szCs w:val="24"/>
          <w:rtl w:val="0"/>
        </w:rPr>
        <w:t xml:space="preserve">perplexity</w:t>
      </w:r>
      <w:r w:rsidDel="00000000" w:rsidR="00000000" w:rsidRPr="00000000">
        <w:rPr>
          <w:rFonts w:ascii="Muli" w:cs="Muli" w:eastAsia="Muli" w:hAnsi="Mul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learning_rate</w:t>
      </w:r>
      <w:r w:rsidDel="00000000" w:rsidR="00000000" w:rsidRPr="00000000">
        <w:rPr>
          <w:rFonts w:ascii="Muli" w:cs="Muli" w:eastAsia="Muli" w:hAnsi="Mul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n_iter</w:t>
      </w:r>
      <w:r w:rsidDel="00000000" w:rsidR="00000000" w:rsidRPr="00000000">
        <w:rPr>
          <w:rFonts w:ascii="Muli" w:cs="Muli" w:eastAsia="Muli" w:hAnsi="Muli"/>
          <w:sz w:val="24"/>
          <w:szCs w:val="24"/>
          <w:rtl w:val="0"/>
        </w:rPr>
        <w:t xml:space="preserve">.</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Visualizar los datos en 2D.</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Comparar la agrupación con respecto a PCA.</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Análisis comparativo</w:t>
      </w:r>
      <w:r w:rsidDel="00000000" w:rsidR="00000000" w:rsidRPr="00000000">
        <w:rPr>
          <w:rFonts w:ascii="Muli" w:cs="Muli" w:eastAsia="Muli" w:hAnsi="Muli"/>
          <w:sz w:val="24"/>
          <w:szCs w:val="24"/>
          <w:rtl w:val="0"/>
        </w:rPr>
        <w:t xml:space="preserve">:</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¿Cuál técnica permitió una mejor visualización de clústeres?</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¿Qué método sería más útil si se quiere usar reducción de dimensionalidad como parte de un pipeline de modelado predictivo?</w:t>
        <w:br w:type="textWrapping"/>
      </w:r>
    </w:p>
    <w:p w:rsidR="00000000" w:rsidDel="00000000" w:rsidP="00000000" w:rsidRDefault="00000000" w:rsidRPr="00000000" w14:paraId="0000001F">
      <w:pPr>
        <w:numPr>
          <w:ilvl w:val="0"/>
          <w:numId w:val="2"/>
        </w:numPr>
        <w:spacing w:after="240" w:before="0" w:beforeAutospacing="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Redactar un informe técnico</w:t>
      </w:r>
      <w:r w:rsidDel="00000000" w:rsidR="00000000" w:rsidRPr="00000000">
        <w:rPr>
          <w:rFonts w:ascii="Muli" w:cs="Muli" w:eastAsia="Muli" w:hAnsi="Muli"/>
          <w:sz w:val="24"/>
          <w:szCs w:val="24"/>
          <w:rtl w:val="0"/>
        </w:rPr>
        <w:t xml:space="preserve"> con los hallazgos, gráficos y conclusiones.</w:t>
        <w:br w:type="textWrapping"/>
      </w:r>
    </w:p>
    <w:p w:rsidR="00000000" w:rsidDel="00000000" w:rsidP="00000000" w:rsidRDefault="00000000" w:rsidRPr="00000000" w14:paraId="00000020">
      <w:pPr>
        <w:pStyle w:val="Heading2"/>
        <w:spacing w:after="240" w:before="240" w:lineRule="auto"/>
        <w:jc w:val="both"/>
        <w:rPr>
          <w:rFonts w:ascii="Muli" w:cs="Muli" w:eastAsia="Muli" w:hAnsi="Muli"/>
          <w:sz w:val="36"/>
          <w:szCs w:val="36"/>
        </w:rPr>
      </w:pPr>
      <w:bookmarkStart w:colFirst="0" w:colLast="0" w:name="_heading=h.xgw6u9h9v3qg" w:id="5"/>
      <w:bookmarkEnd w:id="5"/>
      <w:r w:rsidDel="00000000" w:rsidR="00000000" w:rsidRPr="00000000">
        <w:rPr>
          <w:rFonts w:ascii="Muli" w:cs="Muli" w:eastAsia="Muli" w:hAnsi="Muli"/>
          <w:sz w:val="36"/>
          <w:szCs w:val="36"/>
          <w:rtl w:val="0"/>
        </w:rPr>
        <w:t xml:space="preserve">Entregables 📬</w:t>
      </w:r>
    </w:p>
    <w:p w:rsidR="00000000" w:rsidDel="00000000" w:rsidP="00000000" w:rsidRDefault="00000000" w:rsidRPr="00000000" w14:paraId="00000021">
      <w:pPr>
        <w:numPr>
          <w:ilvl w:val="0"/>
          <w:numId w:val="1"/>
        </w:numPr>
        <w:spacing w:after="0" w:afterAutospacing="0" w:before="24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Notebook en Python (.ipynb o .py)</w:t>
      </w:r>
      <w:r w:rsidDel="00000000" w:rsidR="00000000" w:rsidRPr="00000000">
        <w:rPr>
          <w:rFonts w:ascii="Muli" w:cs="Muli" w:eastAsia="Muli" w:hAnsi="Muli"/>
          <w:sz w:val="24"/>
          <w:szCs w:val="24"/>
          <w:rtl w:val="0"/>
        </w:rPr>
        <w:t xml:space="preserve"> con código comentado y visualizaciones.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Informe técnico en formato PDF</w:t>
      </w:r>
      <w:r w:rsidDel="00000000" w:rsidR="00000000" w:rsidRPr="00000000">
        <w:rPr>
          <w:rFonts w:ascii="Muli" w:cs="Muli" w:eastAsia="Muli" w:hAnsi="Muli"/>
          <w:sz w:val="24"/>
          <w:szCs w:val="24"/>
          <w:rtl w:val="0"/>
        </w:rPr>
        <w:t xml:space="preserve">, que incluya:</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Introducción breve al problema.</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Justificación del uso de técnicas de reducción dimensional.</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Visualizaciones generadas (PCA y t-SNE).</w:t>
        <w:br w:type="textWrapping"/>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Muli" w:cs="Muli" w:eastAsia="Muli" w:hAnsi="Muli"/>
          <w:sz w:val="24"/>
          <w:szCs w:val="24"/>
        </w:rPr>
      </w:pPr>
      <w:r w:rsidDel="00000000" w:rsidR="00000000" w:rsidRPr="00000000">
        <w:rPr>
          <w:rFonts w:ascii="Muli" w:cs="Muli" w:eastAsia="Muli" w:hAnsi="Muli"/>
          <w:sz w:val="24"/>
          <w:szCs w:val="24"/>
          <w:rtl w:val="0"/>
        </w:rPr>
        <w:t xml:space="preserve">Comparativa técnica y recomendación final.</w:t>
        <w:br w:type="textWrapping"/>
      </w:r>
    </w:p>
    <w:p w:rsidR="00000000" w:rsidDel="00000000" w:rsidP="00000000" w:rsidRDefault="00000000" w:rsidRPr="00000000" w14:paraId="00000027">
      <w:pPr>
        <w:numPr>
          <w:ilvl w:val="0"/>
          <w:numId w:val="1"/>
        </w:numPr>
        <w:spacing w:after="240" w:before="0" w:beforeAutospacing="0" w:lineRule="auto"/>
        <w:ind w:left="720" w:hanging="360"/>
        <w:rPr>
          <w:rFonts w:ascii="Muli" w:cs="Muli" w:eastAsia="Muli" w:hAnsi="Muli"/>
          <w:sz w:val="24"/>
          <w:szCs w:val="24"/>
        </w:rPr>
      </w:pPr>
      <w:r w:rsidDel="00000000" w:rsidR="00000000" w:rsidRPr="00000000">
        <w:rPr>
          <w:rFonts w:ascii="Muli" w:cs="Muli" w:eastAsia="Muli" w:hAnsi="Muli"/>
          <w:b w:val="1"/>
          <w:sz w:val="24"/>
          <w:szCs w:val="24"/>
          <w:rtl w:val="0"/>
        </w:rPr>
        <w:t xml:space="preserve">Reflexión individual breve</w:t>
      </w:r>
      <w:r w:rsidDel="00000000" w:rsidR="00000000" w:rsidRPr="00000000">
        <w:rPr>
          <w:rFonts w:ascii="Muli" w:cs="Muli" w:eastAsia="Muli" w:hAnsi="Muli"/>
          <w:sz w:val="24"/>
          <w:szCs w:val="24"/>
          <w:rtl w:val="0"/>
        </w:rPr>
        <w:t xml:space="preserve"> (5-10 líneas): ¿Qué aprendiste del uso de estas técnicas?, ¿qué dificultades encontraste?</w:t>
      </w:r>
    </w:p>
    <w:p w:rsidR="00000000" w:rsidDel="00000000" w:rsidP="00000000" w:rsidRDefault="00000000" w:rsidRPr="00000000" w14:paraId="00000028">
      <w:pPr>
        <w:spacing w:after="240" w:before="240" w:lineRule="auto"/>
        <w:jc w:val="both"/>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2A">
      <w:pPr>
        <w:jc w:val="both"/>
        <w:rPr>
          <w:rFonts w:ascii="Muli" w:cs="Muli" w:eastAsia="Muli" w:hAnsi="Mul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jc w:val="both"/>
        <w:rPr>
          <w:rFonts w:ascii="Muli" w:cs="Muli" w:eastAsia="Muli" w:hAnsi="Muli"/>
          <w:sz w:val="24"/>
          <w:szCs w:val="24"/>
        </w:rPr>
      </w:pPr>
      <w:r w:rsidDel="00000000" w:rsidR="00000000" w:rsidRPr="00000000">
        <w:rPr>
          <w:rFonts w:ascii="Muli" w:cs="Muli" w:eastAsia="Muli" w:hAnsi="Muli"/>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77138" cy="10706197"/>
            <wp:effectExtent b="0" l="0" r="0" t="0"/>
            <wp:wrapNone/>
            <wp:docPr id="18"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7577138" cy="10706197"/>
                    </a:xfrm>
                    <a:prstGeom prst="rect"/>
                    <a:ln/>
                  </pic:spPr>
                </pic:pic>
              </a:graphicData>
            </a:graphic>
          </wp:anchor>
        </w:drawing>
      </w:r>
      <w:r w:rsidDel="00000000" w:rsidR="00000000" w:rsidRPr="00000000">
        <w:rPr>
          <w:rtl w:val="0"/>
        </w:rPr>
      </w:r>
    </w:p>
    <w:p w:rsidR="00000000" w:rsidDel="00000000" w:rsidP="00000000" w:rsidRDefault="00000000" w:rsidRPr="00000000" w14:paraId="0000002C">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2D">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2E">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2F">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0">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1">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2">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3">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4">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5">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6">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7">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8">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9">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A">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B">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C">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D">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E">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3F">
      <w:pPr>
        <w:ind w:left="720" w:firstLine="0"/>
        <w:jc w:val="center"/>
        <w:rPr>
          <w:rFonts w:ascii="Muli" w:cs="Muli" w:eastAsia="Muli" w:hAnsi="Muli"/>
          <w:b w:val="1"/>
          <w:sz w:val="24"/>
          <w:szCs w:val="24"/>
        </w:rPr>
      </w:pPr>
      <w:r w:rsidDel="00000000" w:rsidR="00000000" w:rsidRPr="00000000">
        <w:rPr>
          <w:rFonts w:ascii="Muli" w:cs="Muli" w:eastAsia="Muli" w:hAnsi="Muli"/>
          <w:color w:val="ffffff"/>
          <w:sz w:val="70"/>
          <w:szCs w:val="70"/>
          <w:rtl w:val="0"/>
        </w:rPr>
        <w:t xml:space="preserve">¡Muchas gracias!</w:t>
      </w:r>
      <w:r w:rsidDel="00000000" w:rsidR="00000000" w:rsidRPr="00000000">
        <w:rPr>
          <w:rtl w:val="0"/>
        </w:rPr>
      </w:r>
    </w:p>
    <w:p w:rsidR="00000000" w:rsidDel="00000000" w:rsidP="00000000" w:rsidRDefault="00000000" w:rsidRPr="00000000" w14:paraId="00000040">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1">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2">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3">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4">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5">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6">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7">
      <w:pPr>
        <w:jc w:val="both"/>
        <w:rPr>
          <w:rFonts w:ascii="Muli" w:cs="Muli" w:eastAsia="Muli" w:hAnsi="Muli"/>
          <w:sz w:val="24"/>
          <w:szCs w:val="24"/>
        </w:rPr>
      </w:pPr>
      <w:r w:rsidDel="00000000" w:rsidR="00000000" w:rsidRPr="00000000">
        <w:rPr>
          <w:rtl w:val="0"/>
        </w:rPr>
      </w:r>
    </w:p>
    <w:p w:rsidR="00000000" w:rsidDel="00000000" w:rsidP="00000000" w:rsidRDefault="00000000" w:rsidRPr="00000000" w14:paraId="00000048">
      <w:pPr>
        <w:jc w:val="both"/>
        <w:rPr>
          <w:rFonts w:ascii="Muli" w:cs="Muli" w:eastAsia="Muli" w:hAnsi="Muli"/>
          <w:color w:val="ffffff"/>
          <w:sz w:val="70"/>
          <w:szCs w:val="70"/>
        </w:rPr>
      </w:pPr>
      <w:r w:rsidDel="00000000" w:rsidR="00000000" w:rsidRPr="00000000">
        <w:rPr>
          <w:rtl w:val="0"/>
        </w:rPr>
      </w:r>
    </w:p>
    <w:p w:rsidR="00000000" w:rsidDel="00000000" w:rsidP="00000000" w:rsidRDefault="00000000" w:rsidRPr="00000000" w14:paraId="00000049">
      <w:pPr>
        <w:jc w:val="both"/>
        <w:rPr>
          <w:rFonts w:ascii="Muli" w:cs="Muli" w:eastAsia="Muli" w:hAnsi="Muli"/>
          <w:color w:val="ffffff"/>
          <w:sz w:val="70"/>
          <w:szCs w:val="70"/>
        </w:rPr>
      </w:pPr>
      <w:r w:rsidDel="00000000" w:rsidR="00000000" w:rsidRPr="00000000">
        <w:rPr>
          <w:rtl w:val="0"/>
        </w:rPr>
      </w:r>
    </w:p>
    <w:p w:rsidR="00000000" w:rsidDel="00000000" w:rsidP="00000000" w:rsidRDefault="00000000" w:rsidRPr="00000000" w14:paraId="0000004A">
      <w:pPr>
        <w:jc w:val="both"/>
        <w:rPr>
          <w:rFonts w:ascii="Muli" w:cs="Muli" w:eastAsia="Muli" w:hAnsi="Muli"/>
          <w:color w:val="ffffff"/>
          <w:sz w:val="70"/>
          <w:szCs w:val="70"/>
        </w:rPr>
      </w:pPr>
      <w:r w:rsidDel="00000000" w:rsidR="00000000" w:rsidRPr="00000000">
        <w:rPr>
          <w:rtl w:val="0"/>
        </w:rPr>
      </w:r>
    </w:p>
    <w:p w:rsidR="00000000" w:rsidDel="00000000" w:rsidP="00000000" w:rsidRDefault="00000000" w:rsidRPr="00000000" w14:paraId="0000004B">
      <w:pPr>
        <w:jc w:val="both"/>
        <w:rPr>
          <w:rFonts w:ascii="Muli" w:cs="Muli" w:eastAsia="Muli" w:hAnsi="Muli"/>
        </w:rPr>
      </w:pPr>
      <w:r w:rsidDel="00000000" w:rsidR="00000000" w:rsidRPr="00000000">
        <w:rPr>
          <w:rtl w:val="0"/>
        </w:rPr>
      </w:r>
    </w:p>
    <w:sectPr>
      <w:type w:val="nextPage"/>
      <w:pgSz w:h="16834" w:w="11909" w:orient="portrait"/>
      <w:pgMar w:bottom="1440" w:top="850.3937007874016"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line="276"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114300</wp:posOffset>
          </wp:positionV>
          <wp:extent cx="863925" cy="295275"/>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1"/>
                  <a:srcRect b="41848" l="52156" r="0" t="41574"/>
                  <a:stretch>
                    <a:fillRect/>
                  </a:stretch>
                </pic:blipFill>
                <pic:spPr>
                  <a:xfrm>
                    <a:off x="0" y="0"/>
                    <a:ext cx="863925" cy="2952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image" Target="media/image3.jp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WvHBIISPCZKhBFWDDoFF4o/3A==">CgMxLjAyCGguZ2pkZ3hzMgloLjMwajB6bGwyDWguZTJjbW1nYWV2NHAyDmgudGg0MWFwdWV1NHgyMg5oLmxvN2tqMXoxd2swdzIOaC54Z3c2dTloOXYzcWc4AHIhMVVadDNVNE1yeFdoVTR0RzcxSGU4cDZWel80cHVWUHFp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