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informe_técnico_de_análisis_explo_39c94a"/>
      <w:r>
        <w:rPr>
          <w:rFonts w:eastAsia="Georgia" w:cs="Georgia" w:ascii="Georgia" w:hAnsi="Georgia"/>
          <w:b/>
          <w:sz w:val="56"/>
        </w:rPr>
        <w:t xml:space="preserve">INFORME TÉCNICO DE ANÁLISIS EXPLORATORIO DE DATOS</w:t>
      </w:r>
      <w:bookmarkEnd w:id="0"/>
    </w:p>
    <w:p>
      <w:pPr>
        <w:spacing w:line="271" w:before="240" w:lineRule="auto"/>
      </w:pPr>
      <w:bookmarkStart w:id="1" w:name="proyecto_análisis_exploratorio_de_257a22"/>
      <w:r>
        <w:rPr>
          <w:rFonts w:eastAsia="Georgia" w:cs="Georgia" w:ascii="Georgia" w:hAnsi="Georgia"/>
          <w:b/>
          <w:sz w:val="42"/>
        </w:rPr>
        <w:t xml:space="preserve">Proyecto: Análisis exploratorio de datos para decisiones comerciales - ComercioYA</w:t>
      </w:r>
      <w:bookmarkEnd w:id="1"/>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INFORMACIÓN DEL PROYECTO</w:t>
      </w:r>
    </w:p>
    <w:p>
      <w:pPr>
        <w:numPr>
          <w:ilvl w:val="0"/>
          <w:numId w:val="1"/>
        </w:numPr>
        <w:spacing w:lineRule="auto"/>
      </w:pPr>
      <w:r>
        <w:rPr>
          <w:b/>
        </w:rPr>
        <w:t xml:space="preserve">Cliente</w:t>
      </w:r>
      <w:r>
        <w:rPr>
          <w:rFonts w:eastAsia="Georgia" w:cs="Georgia" w:ascii="Georgia" w:hAnsi="Georgia"/>
        </w:rPr>
        <w:t xml:space="preserve">: ComercioYA - Empresa de ventas en línea</w:t>
      </w:r>
    </w:p>
    <w:p>
      <w:pPr>
        <w:numPr>
          <w:ilvl w:val="0"/>
          <w:numId w:val="1"/>
        </w:numPr>
        <w:spacing w:lineRule="auto"/>
      </w:pPr>
      <w:r>
        <w:rPr>
          <w:b/>
        </w:rPr>
        <w:t xml:space="preserve">Unidad solicitante</w:t>
      </w:r>
      <w:r>
        <w:rPr>
          <w:rFonts w:eastAsia="Georgia" w:cs="Georgia" w:ascii="Georgia" w:hAnsi="Georgia"/>
        </w:rPr>
        <w:t xml:space="preserve">: Dirección de Análisis Estratégico</w:t>
      </w:r>
    </w:p>
    <w:p>
      <w:pPr>
        <w:numPr>
          <w:ilvl w:val="0"/>
          <w:numId w:val="1"/>
        </w:numPr>
        <w:spacing w:lineRule="auto"/>
      </w:pPr>
      <w:r>
        <w:rPr>
          <w:b/>
        </w:rPr>
        <w:t xml:space="preserve">Periodo de análisis</w:t>
      </w:r>
      <w:r>
        <w:rPr/>
        <w:t xml:space="preserve">: 2022 - 2024</w:t>
      </w:r>
    </w:p>
    <w:p>
      <w:pPr>
        <w:numPr>
          <w:ilvl w:val="0"/>
          <w:numId w:val="1"/>
        </w:numPr>
        <w:spacing w:lineRule="auto"/>
      </w:pPr>
      <w:r>
        <w:rPr>
          <w:b/>
        </w:rPr>
        <w:t xml:space="preserve">Dataset</w:t>
      </w:r>
      <w:r>
        <w:rPr>
          <w:rFonts w:eastAsia="Georgia" w:cs="Georgia" w:ascii="Georgia" w:hAnsi="Georgia"/>
        </w:rPr>
        <w:t xml:space="preserve">: ecommerce_sales_data-2.csv</w:t>
      </w:r>
    </w:p>
    <w:p>
      <w:pPr>
        <w:numPr>
          <w:ilvl w:val="0"/>
          <w:numId w:val="1"/>
        </w:numPr>
        <w:spacing w:lineRule="auto"/>
      </w:pPr>
      <w:r>
        <w:rPr>
          <w:b/>
        </w:rPr>
        <w:t xml:space="preserve">Fecha de entrega</w:t>
      </w:r>
      <w:r>
        <w:rPr/>
        <w:t xml:space="preserve">: Enero 2026</w:t>
      </w:r>
    </w:p>
    <w:p>
      <w:pPr>
        <w:numPr>
          <w:ilvl w:val="0"/>
          <w:numId w:val="1"/>
        </w:numPr>
        <w:spacing w:lineRule="auto"/>
      </w:pPr>
      <w:r>
        <w:rPr>
          <w:b/>
        </w:rPr>
        <w:t xml:space="preserve">Módulo</w:t>
      </w:r>
      <w:r>
        <w:rPr>
          <w:rFonts w:eastAsia="Georgia" w:cs="Georgia" w:ascii="Georgia" w:hAnsi="Georgia"/>
        </w:rPr>
        <w:t xml:space="preserve">: Análisis Exploratorio de Datos (Módulo 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resumen_ejecutivo"/>
      <w:r>
        <w:rPr>
          <w:b/>
          <w:sz w:val="42"/>
        </w:rPr>
        <w:t xml:space="preserve">1. RESUMEN EJECUTIVO</w:t>
      </w:r>
      <w:bookmarkEnd w:id="2"/>
    </w:p>
    <w:p>
      <w:pPr>
        <w:spacing w:after="210" w:lineRule="auto"/>
      </w:pPr>
      <w:r>
        <w:rPr>
          <w:rFonts w:eastAsia="Georgia" w:cs="Georgia" w:ascii="Georgia" w:hAnsi="Georgia"/>
        </w:rPr>
        <w:t xml:space="preserve">ComercioYA requiere comprender el comportamiento histórico de sus ventas para tomar decisiones estratégicas basadas en evidencia. Este informe presenta un análisis exploratorio de datos (EDA) sobre las transacciones registradas entre 2022 y 2024, identificando patrones de ventas, rentabilidad por categoría y región, y relaciones clave entre variables operativas.</w:t>
      </w:r>
    </w:p>
    <w:p>
      <w:pPr>
        <w:spacing w:after="210" w:lineRule="auto"/>
      </w:pPr>
      <w:r>
        <w:rPr/>
        <w:t xml:space="preserve">Los hallazgos principales revelan que:</w:t>
      </w:r>
    </w:p>
    <w:p>
      <w:pPr>
        <w:numPr>
          <w:ilvl w:val="0"/>
          <w:numId w:val="2"/>
        </w:numPr>
        <w:spacing w:lineRule="auto"/>
      </w:pPr>
      <w:r>
        <w:rPr>
          <w:rFonts w:eastAsia="Georgia" w:cs="Georgia" w:ascii="Georgia" w:hAnsi="Georgia"/>
        </w:rPr>
        <w:t xml:space="preserve">Las categorías Electronics y Accessories representan la mayor parte de las ventas.</w:t>
      </w:r>
    </w:p>
    <w:p>
      <w:pPr>
        <w:numPr>
          <w:ilvl w:val="0"/>
          <w:numId w:val="2"/>
        </w:numPr>
        <w:spacing w:lineRule="auto"/>
      </w:pPr>
      <w:r>
        <w:rPr/>
        <w:t xml:space="preserve">Existe variabilidad significativa en la rentabilidad entre regiones.</w:t>
      </w:r>
    </w:p>
    <w:p>
      <w:pPr>
        <w:numPr>
          <w:ilvl w:val="0"/>
          <w:numId w:val="2"/>
        </w:numPr>
        <w:spacing w:lineRule="auto"/>
      </w:pPr>
      <w:r>
        <w:rPr>
          <w:rFonts w:eastAsia="Georgia" w:cs="Georgia" w:ascii="Georgia" w:hAnsi="Georgia"/>
        </w:rPr>
        <w:t xml:space="preserve">La correlación entre ventas y ganancia es positiva pero no perfecta, evidenciando oportunidades de optimización de márgenes.</w:t>
      </w:r>
    </w:p>
    <w:p>
      <w:pPr>
        <w:numPr>
          <w:ilvl w:val="0"/>
          <w:numId w:val="2"/>
        </w:numPr>
        <w:spacing w:lineRule="auto"/>
      </w:pPr>
      <w:r>
        <w:rPr>
          <w:rFonts w:eastAsia="Georgia" w:cs="Georgia" w:ascii="Georgia" w:hAnsi="Georgia"/>
        </w:rPr>
        <w:t xml:space="preserve">Modelos de regresión lineal confirman que las ventas son el principal predictor de ganancia, aunque la cantidad vendida aporta información complementaria.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bm_2_contexto_y_objetivos"/>
      <w:r>
        <w:rPr>
          <w:b/>
          <w:sz w:val="42"/>
        </w:rPr>
        <w:t xml:space="preserve">2. CONTEXTO Y OBJETIVOS</w:t>
      </w:r>
      <w:bookmarkEnd w:id="3"/>
    </w:p>
    <w:p>
      <w:pPr>
        <w:spacing w:line="271" w:before="240" w:lineRule="auto"/>
      </w:pPr>
      <w:bookmarkStart w:id="4" w:name="bm_2_1_situación_inicial"/>
      <w:r>
        <w:rPr>
          <w:rFonts w:eastAsia="Georgia" w:cs="Georgia" w:ascii="Georgia" w:hAnsi="Georgia"/>
          <w:b/>
          <w:sz w:val="33"/>
        </w:rPr>
        <w:t xml:space="preserve">2.1 Situación inicial</w:t>
      </w:r>
      <w:bookmarkEnd w:id="4"/>
    </w:p>
    <w:p>
      <w:pPr>
        <w:spacing w:after="210" w:lineRule="auto"/>
      </w:pPr>
      <w:r>
        <w:rPr>
          <w:rFonts w:eastAsia="Georgia" w:cs="Georgia" w:ascii="Georgia" w:hAnsi="Georgia"/>
        </w:rPr>
        <w:t xml:space="preserve">ComercioYA ha recolectado datos históricos de comportamiento de clientes (compras, montos, productos, regiones), pero el equipo directivo no tiene claridad sobre cómo interpretarlos ni qué variables son relevantes para mejorar la estrategia de ventas y marketing.</w:t>
      </w:r>
    </w:p>
    <w:p>
      <w:pPr>
        <w:spacing w:line="271" w:before="240" w:lineRule="auto"/>
      </w:pPr>
      <w:bookmarkStart w:id="5" w:name="bm_2_2_objetivos_del_análisis"/>
      <w:r>
        <w:rPr>
          <w:rFonts w:eastAsia="Georgia" w:cs="Georgia" w:ascii="Georgia" w:hAnsi="Georgia"/>
          <w:b/>
          <w:sz w:val="33"/>
        </w:rPr>
        <w:t xml:space="preserve">2.2 Objetivos del análisis</w:t>
      </w:r>
      <w:bookmarkEnd w:id="5"/>
    </w:p>
    <w:p>
      <w:pPr>
        <w:numPr>
          <w:ilvl w:val="0"/>
          <w:numId w:val="3"/>
        </w:numPr>
        <w:spacing w:lineRule="auto"/>
      </w:pPr>
      <w:r>
        <w:rPr>
          <w:rFonts w:eastAsia="Georgia" w:cs="Georgia" w:ascii="Georgia" w:hAnsi="Georgia"/>
        </w:rPr>
        <w:t xml:space="preserve">Aplicar técnicas de Análisis Exploratorio de Datos (EDA) para identificar patrones, relaciones y valores atípicos.</w:t>
      </w:r>
    </w:p>
    <w:p>
      <w:pPr>
        <w:numPr>
          <w:ilvl w:val="0"/>
          <w:numId w:val="3"/>
        </w:numPr>
        <w:spacing w:lineRule="auto"/>
      </w:pPr>
      <w:r>
        <w:rPr>
          <w:rFonts w:eastAsia="Georgia" w:cs="Georgia" w:ascii="Georgia" w:hAnsi="Georgia"/>
        </w:rPr>
        <w:t xml:space="preserve">Calcular estadísticas descriptivas y correlaciones entre variables clave.</w:t>
      </w:r>
    </w:p>
    <w:p>
      <w:pPr>
        <w:numPr>
          <w:ilvl w:val="0"/>
          <w:numId w:val="3"/>
        </w:numPr>
        <w:spacing w:lineRule="auto"/>
      </w:pPr>
      <w:r>
        <w:rPr>
          <w:rFonts w:eastAsia="Georgia" w:cs="Georgia" w:ascii="Georgia" w:hAnsi="Georgia"/>
        </w:rPr>
        <w:t xml:space="preserve">Ajustar modelos de regresión lineal para explicar la ganancia en función de ventas y cantidad.</w:t>
      </w:r>
    </w:p>
    <w:p>
      <w:pPr>
        <w:numPr>
          <w:ilvl w:val="0"/>
          <w:numId w:val="3"/>
        </w:numPr>
        <w:spacing w:lineRule="auto"/>
      </w:pPr>
      <w:r>
        <w:rPr/>
        <w:t xml:space="preserve">Generar visualizaciones profesionales que comuniquen hallazgos relevantes.</w:t>
      </w:r>
    </w:p>
    <w:p>
      <w:pPr>
        <w:numPr>
          <w:ilvl w:val="0"/>
          <w:numId w:val="3"/>
        </w:numPr>
        <w:spacing w:lineRule="auto"/>
      </w:pPr>
      <w:r>
        <w:rPr>
          <w:rFonts w:eastAsia="Georgia" w:cs="Georgia" w:ascii="Georgia" w:hAnsi="Georgia"/>
        </w:rPr>
        <w:t xml:space="preserve">Entregar recomendaciones estratégicas sustentadas en evidencia.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3_metodología"/>
      <w:r>
        <w:rPr>
          <w:rFonts w:eastAsia="Georgia" w:cs="Georgia" w:ascii="Georgia" w:hAnsi="Georgia"/>
          <w:b/>
          <w:sz w:val="42"/>
        </w:rPr>
        <w:t xml:space="preserve">3. METODOLOGÍA</w:t>
      </w:r>
      <w:bookmarkEnd w:id="6"/>
    </w:p>
    <w:p>
      <w:pPr>
        <w:spacing w:after="210" w:lineRule="auto"/>
      </w:pPr>
      <w:r>
        <w:rPr>
          <w:rFonts w:eastAsia="Georgia" w:cs="Georgia" w:ascii="Georgia" w:hAnsi="Georgia"/>
        </w:rPr>
        <w:t xml:space="preserve">El análisis se estructuró en 6 lecciones progresivas siguiendo la consigna del módulo:</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Lección</w:t>
            </w:r>
          </w:p>
        </w:tc>
        <w:tc>
          <w:tcPr>
            <w:tcBorders>
              <w:top w:val="single" w:sz="8" w:space="0" w:color="000000"/>
              <w:bottom w:val="single" w:sz="8" w:space="0" w:color="000000"/>
              <w:right w:val="single" w:sz="8" w:space="0" w:color="000000"/>
            </w:tcBorders>
            <w:vAlign w:val="center"/>
          </w:tcPr>
          <w:p>
            <w:pPr>
              <w:spacing w:lineRule="auto"/>
              <w:jc w:val="left"/>
            </w:pPr>
            <w:r>
              <w:rPr/>
              <w:t xml:space="preserve">Enfoque</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Técnicas aplicadas</w:t>
            </w:r>
          </w:p>
        </w:tc>
      </w:tr>
      <w:tr>
        <w:trPr>
          <w:cantSplit/>
        </w:trPr>
        <w:tc>
          <w:tcPr>
            <w:tcBorders>
              <w:left w:val="single" w:sz="8" w:space="0" w:color="000000"/>
              <w:right w:val="single" w:sz="8" w:space="0" w:color="000000"/>
            </w:tcBorders>
            <w:vAlign w:val="center"/>
          </w:tcPr>
          <w:p>
            <w:pPr>
              <w:spacing w:lineRule="auto"/>
              <w:jc w:val="left"/>
            </w:pPr>
            <w:r>
              <w:rPr/>
              <w:t xml:space="preserve">1. EDA inicial</w:t>
            </w:r>
          </w:p>
        </w:tc>
        <w:tc>
          <w:tcPr>
            <w:tcBorders>
              <w:right w:val="single" w:sz="8" w:space="0" w:color="000000"/>
            </w:tcBorders>
            <w:vAlign w:val="center"/>
          </w:tcPr>
          <w:p>
            <w:pPr>
              <w:spacing w:lineRule="auto"/>
              <w:jc w:val="left"/>
            </w:pPr>
            <w:r>
              <w:rPr>
                <w:rFonts w:eastAsia="Georgia" w:cs="Georgia" w:ascii="Georgia" w:hAnsi="Georgia"/>
              </w:rPr>
              <w:t xml:space="preserve">Comprensión de datos</w:t>
            </w:r>
          </w:p>
        </w:tc>
        <w:tc>
          <w:tcPr>
            <w:tcBorders>
              <w:right w:val="single" w:sz="8" w:space="0" w:color="000000"/>
            </w:tcBorders>
            <w:vAlign w:val="center"/>
          </w:tcPr>
          <w:p>
            <w:pPr>
              <w:spacing w:lineRule="auto"/>
              <w:jc w:val="left"/>
            </w:pPr>
            <w:r>
              <w:rPr>
                <w:rFonts w:eastAsia="Georgia" w:cs="Georgia" w:ascii="Georgia" w:hAnsi="Georgia"/>
              </w:rPr>
              <w:t xml:space="preserve">Identificación de tipos de variables, detección de nulos</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2. Estadística descriptiva</w:t>
            </w:r>
          </w:p>
        </w:tc>
        <w:tc>
          <w:tcPr>
            <w:tcBorders>
              <w:right w:val="single" w:sz="8" w:space="0" w:color="000000"/>
            </w:tcBorders>
            <w:vAlign w:val="center"/>
          </w:tcPr>
          <w:p>
            <w:pPr>
              <w:spacing w:lineRule="auto"/>
              <w:jc w:val="left"/>
            </w:pPr>
            <w:r>
              <w:rPr/>
              <w:t xml:space="preserve">Medidas de centralidad</w:t>
            </w:r>
          </w:p>
        </w:tc>
        <w:tc>
          <w:tcPr>
            <w:tcBorders>
              <w:right w:val="single" w:sz="8" w:space="0" w:color="000000"/>
            </w:tcBorders>
            <w:vAlign w:val="center"/>
          </w:tcPr>
          <w:p>
            <w:pPr>
              <w:spacing w:lineRule="auto"/>
              <w:jc w:val="left"/>
            </w:pPr>
            <w:r>
              <w:rPr>
                <w:rFonts w:eastAsia="Georgia" w:cs="Georgia" w:ascii="Georgia" w:hAnsi="Georgia"/>
              </w:rPr>
              <w:t xml:space="preserve">Media, mediana, desviación, cuartiles, boxplots</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3. Correlación</w:t>
            </w:r>
          </w:p>
        </w:tc>
        <w:tc>
          <w:tcPr>
            <w:tcBorders>
              <w:right w:val="single" w:sz="8" w:space="0" w:color="000000"/>
            </w:tcBorders>
            <w:vAlign w:val="center"/>
          </w:tcPr>
          <w:p>
            <w:pPr>
              <w:spacing w:lineRule="auto"/>
              <w:jc w:val="left"/>
            </w:pPr>
            <w:r>
              <w:rPr/>
              <w:t xml:space="preserve">Relaciones entre variables</w:t>
            </w:r>
          </w:p>
        </w:tc>
        <w:tc>
          <w:tcPr>
            <w:tcBorders>
              <w:right w:val="single" w:sz="8" w:space="0" w:color="000000"/>
            </w:tcBorders>
            <w:vAlign w:val="center"/>
          </w:tcPr>
          <w:p>
            <w:pPr>
              <w:spacing w:lineRule="auto"/>
              <w:jc w:val="left"/>
            </w:pPr>
            <w:r>
              <w:rPr/>
              <w:t xml:space="preserve">Coeficiente de Pearson, matrices, scatterplots</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4. Regresión lineal</w:t>
            </w:r>
          </w:p>
        </w:tc>
        <w:tc>
          <w:tcPr>
            <w:tcBorders>
              <w:right w:val="single" w:sz="8" w:space="0" w:color="000000"/>
            </w:tcBorders>
            <w:vAlign w:val="center"/>
          </w:tcPr>
          <w:p>
            <w:pPr>
              <w:spacing w:lineRule="auto"/>
              <w:jc w:val="left"/>
            </w:pPr>
            <w:r>
              <w:rPr/>
              <w:t xml:space="preserve">Modelado predictivo</w:t>
            </w:r>
          </w:p>
        </w:tc>
        <w:tc>
          <w:tcPr>
            <w:tcBorders>
              <w:right w:val="single" w:sz="8" w:space="0" w:color="000000"/>
            </w:tcBorders>
            <w:vAlign w:val="center"/>
          </w:tcPr>
          <w:p>
            <w:pPr>
              <w:spacing w:lineRule="auto"/>
              <w:jc w:val="left"/>
            </w:pPr>
            <w:r>
              <w:rPr>
                <w:rFonts w:eastAsia="Georgia" w:cs="Georgia" w:ascii="Georgia" w:hAnsi="Georgia"/>
              </w:rPr>
              <w:t xml:space="preserve">Regresión simple y múltiple, R², MSE</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5. Visualización Seaborn</w:t>
            </w:r>
          </w:p>
        </w:tc>
        <w:tc>
          <w:tcPr>
            <w:tcBorders>
              <w:right w:val="single" w:sz="8" w:space="0" w:color="000000"/>
            </w:tcBorders>
            <w:vAlign w:val="center"/>
          </w:tcPr>
          <w:p>
            <w:pPr>
              <w:spacing w:lineRule="auto"/>
              <w:jc w:val="left"/>
            </w:pPr>
            <w:r>
              <w:rPr>
                <w:rFonts w:eastAsia="Georgia" w:cs="Georgia" w:ascii="Georgia" w:hAnsi="Georgia"/>
              </w:rPr>
              <w:t xml:space="preserve">Análisis visual avanzado</w:t>
            </w:r>
          </w:p>
        </w:tc>
        <w:tc>
          <w:tcPr>
            <w:tcBorders>
              <w:right w:val="single" w:sz="8" w:space="0" w:color="000000"/>
            </w:tcBorders>
            <w:vAlign w:val="center"/>
          </w:tcPr>
          <w:p>
            <w:pPr>
              <w:spacing w:lineRule="auto"/>
              <w:jc w:val="left"/>
            </w:pPr>
            <w:r>
              <w:rPr/>
              <w:t xml:space="preserve">Pairplot, violinplot, jointplot, heatmap</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6. Matplotlib</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Personalización gráfica</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Subplots, títulos, anotaciones, exportación</w:t>
            </w:r>
          </w:p>
        </w:tc>
      </w:tr>
    </w:tbl>
    <w:p>
      <w:pPr>
        <w:spacing w:lineRule="auto"/>
      </w:pPr>
    </w:p>
    <w:p>
      <w:pPr>
        <w:spacing w:lineRule="auto"/>
      </w:pPr>
      <w:r>
        <w:rPr>
          <w:rFonts w:eastAsia="Georgia" w:cs="Georgia" w:ascii="Georgia" w:hAnsi="Georgia"/>
        </w:rPr>
        <w:t xml:space="preserve">Table 1: Estructura metodológica del análisis</w:t>
      </w:r>
    </w:p>
    <w:p>
      <w:pPr>
        <w:spacing w:after="210" w:lineRule="auto"/>
      </w:pPr>
      <w:r>
        <w:rPr>
          <w:b/>
        </w:rPr>
        <w:t xml:space="preserve">Herramientas utilizadas:</w:t>
      </w:r>
    </w:p>
    <w:p>
      <w:pPr>
        <w:numPr>
          <w:ilvl w:val="0"/>
          <w:numId w:val="4"/>
        </w:numPr>
        <w:spacing w:lineRule="auto"/>
      </w:pPr>
      <w:r>
        <w:rPr/>
        <w:t xml:space="preserve">Python 3.8+</w:t>
      </w:r>
    </w:p>
    <w:p>
      <w:pPr>
        <w:numPr>
          <w:ilvl w:val="0"/>
          <w:numId w:val="4"/>
        </w:numPr>
        <w:spacing w:lineRule="auto"/>
      </w:pPr>
      <w:r>
        <w:rPr>
          <w:rFonts w:eastAsia="Georgia" w:cs="Georgia" w:ascii="Georgia" w:hAnsi="Georgia"/>
        </w:rPr>
        <w:t xml:space="preserve">Librerías: pandas, numpy, seaborn, matplotlib, statsmodels</w:t>
      </w:r>
    </w:p>
    <w:p>
      <w:pPr>
        <w:numPr>
          <w:ilvl w:val="0"/>
          <w:numId w:val="4"/>
        </w:numPr>
        <w:spacing w:lineRule="auto"/>
      </w:pPr>
      <w:r>
        <w:rPr/>
        <w:t xml:space="preserve">Entorno: Visual Studio Code con Jupyter Notebook</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bm_4_descripción_de_los_datos"/>
      <w:r>
        <w:rPr>
          <w:rFonts w:eastAsia="Georgia" w:cs="Georgia" w:ascii="Georgia" w:hAnsi="Georgia"/>
          <w:b/>
          <w:sz w:val="42"/>
        </w:rPr>
        <w:t xml:space="preserve">4. DESCRIPCIÓN DE LOS DATOS</w:t>
      </w:r>
      <w:bookmarkEnd w:id="7"/>
    </w:p>
    <w:p>
      <w:pPr>
        <w:spacing w:line="271" w:before="240" w:lineRule="auto"/>
      </w:pPr>
      <w:bookmarkStart w:id="8" w:name="bm_4_1_estructura_del_dataset"/>
      <w:r>
        <w:rPr>
          <w:b/>
          <w:sz w:val="33"/>
        </w:rPr>
        <w:t xml:space="preserve">4.1 Estructura del dataset</w:t>
      </w:r>
      <w:bookmarkEnd w:id="8"/>
    </w:p>
    <w:p>
      <w:pPr>
        <w:spacing w:after="210" w:lineRule="auto"/>
      </w:pPr>
      <w:r>
        <w:rPr>
          <w:rFonts w:eastAsia="Georgia" w:cs="Georgia" w:ascii="Georgia" w:hAnsi="Georgia"/>
        </w:rPr>
        <w:t xml:space="preserve">El archivo ecommerce_sales_data-2.csv contiene 1,000 registros de transacciones con las siguientes columnas: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Columna</w:t>
            </w:r>
          </w:p>
        </w:tc>
        <w:tc>
          <w:tcPr>
            <w:tcBorders>
              <w:top w:val="single" w:sz="8" w:space="0" w:color="000000"/>
              <w:bottom w:val="single" w:sz="8" w:space="0" w:color="000000"/>
              <w:right w:val="single" w:sz="8" w:space="0" w:color="000000"/>
            </w:tcBorders>
            <w:vAlign w:val="center"/>
          </w:tcPr>
          <w:p>
            <w:pPr>
              <w:spacing w:lineRule="auto"/>
              <w:jc w:val="left"/>
            </w:pPr>
            <w:r>
              <w:rPr/>
              <w:t xml:space="preserve">Tipo</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Descripción</w:t>
            </w:r>
          </w:p>
        </w:tc>
      </w:tr>
      <w:tr>
        <w:trPr>
          <w:cantSplit/>
        </w:trPr>
        <w:tc>
          <w:tcPr>
            <w:tcBorders>
              <w:left w:val="single" w:sz="8" w:space="0" w:color="000000"/>
              <w:right w:val="single" w:sz="8" w:space="0" w:color="000000"/>
            </w:tcBorders>
            <w:vAlign w:val="center"/>
          </w:tcPr>
          <w:p>
            <w:pPr>
              <w:spacing w:lineRule="auto"/>
              <w:jc w:val="left"/>
            </w:pPr>
            <w:r>
              <w:rPr/>
              <w:t xml:space="preserve">Order Date</w:t>
            </w:r>
          </w:p>
        </w:tc>
        <w:tc>
          <w:tcPr>
            <w:tcBorders>
              <w:right w:val="single" w:sz="8" w:space="0" w:color="000000"/>
            </w:tcBorders>
            <w:vAlign w:val="center"/>
          </w:tcPr>
          <w:p>
            <w:pPr>
              <w:spacing w:lineRule="auto"/>
              <w:jc w:val="left"/>
            </w:pPr>
            <w:r>
              <w:rPr/>
              <w:t xml:space="preserve">Fecha</w:t>
            </w:r>
          </w:p>
        </w:tc>
        <w:tc>
          <w:tcPr>
            <w:tcBorders>
              <w:right w:val="single" w:sz="8" w:space="0" w:color="000000"/>
            </w:tcBorders>
            <w:vAlign w:val="center"/>
          </w:tcPr>
          <w:p>
            <w:pPr>
              <w:spacing w:lineRule="auto"/>
              <w:jc w:val="left"/>
            </w:pPr>
            <w:r>
              <w:rPr>
                <w:rFonts w:eastAsia="Georgia" w:cs="Georgia" w:ascii="Georgia" w:hAnsi="Georgia"/>
              </w:rPr>
              <w:t xml:space="preserve">Fecha de la transacción (2022-2024)</w:t>
            </w:r>
          </w:p>
        </w:tc>
      </w:tr>
      <w:tr>
        <w:trPr>
          <w:cantSplit/>
        </w:trPr>
        <w:tc>
          <w:tcPr>
            <w:tcBorders>
              <w:left w:val="single" w:sz="8" w:space="0" w:color="000000"/>
              <w:right w:val="single" w:sz="8" w:space="0" w:color="000000"/>
            </w:tcBorders>
            <w:vAlign w:val="center"/>
          </w:tcPr>
          <w:p>
            <w:pPr>
              <w:spacing w:lineRule="auto"/>
              <w:jc w:val="left"/>
            </w:pPr>
            <w:r>
              <w:rPr/>
              <w:t xml:space="preserve">Product</w:t>
            </w:r>
          </w:p>
        </w:tc>
        <w:tc>
          <w:tcPr>
            <w:tcBorders>
              <w:right w:val="single" w:sz="8" w:space="0" w:color="000000"/>
            </w:tcBorders>
            <w:vAlign w:val="center"/>
          </w:tcPr>
          <w:p>
            <w:pPr>
              <w:spacing w:lineRule="auto"/>
              <w:jc w:val="left"/>
            </w:pPr>
            <w:r>
              <w:rPr>
                <w:rFonts w:eastAsia="Georgia" w:cs="Georgia" w:ascii="Georgia" w:hAnsi="Georgia"/>
              </w:rPr>
              <w:t xml:space="preserve">Categórica</w:t>
            </w:r>
          </w:p>
        </w:tc>
        <w:tc>
          <w:tcPr>
            <w:tcBorders>
              <w:right w:val="single" w:sz="8" w:space="0" w:color="000000"/>
            </w:tcBorders>
            <w:vAlign w:val="center"/>
          </w:tcPr>
          <w:p>
            <w:pPr>
              <w:spacing w:lineRule="auto"/>
              <w:jc w:val="left"/>
            </w:pPr>
            <w:r>
              <w:rPr/>
              <w:t xml:space="preserve">Nombre del producto (Laptop, Mouse, Printer, etc.)</w:t>
            </w:r>
          </w:p>
        </w:tc>
      </w:tr>
      <w:tr>
        <w:trPr>
          <w:cantSplit/>
        </w:trPr>
        <w:tc>
          <w:tcPr>
            <w:tcBorders>
              <w:left w:val="single" w:sz="8" w:space="0" w:color="000000"/>
              <w:right w:val="single" w:sz="8" w:space="0" w:color="000000"/>
            </w:tcBorders>
            <w:vAlign w:val="center"/>
          </w:tcPr>
          <w:p>
            <w:pPr>
              <w:spacing w:lineRule="auto"/>
              <w:jc w:val="left"/>
            </w:pPr>
            <w:r>
              <w:rPr/>
              <w:t xml:space="preserve">Category</w:t>
            </w:r>
          </w:p>
        </w:tc>
        <w:tc>
          <w:tcPr>
            <w:tcBorders>
              <w:right w:val="single" w:sz="8" w:space="0" w:color="000000"/>
            </w:tcBorders>
            <w:vAlign w:val="center"/>
          </w:tcPr>
          <w:p>
            <w:pPr>
              <w:spacing w:lineRule="auto"/>
              <w:jc w:val="left"/>
            </w:pPr>
            <w:r>
              <w:rPr>
                <w:rFonts w:eastAsia="Georgia" w:cs="Georgia" w:ascii="Georgia" w:hAnsi="Georgia"/>
              </w:rPr>
              <w:t xml:space="preserve">Categórica</w:t>
            </w:r>
          </w:p>
        </w:tc>
        <w:tc>
          <w:tcPr>
            <w:tcBorders>
              <w:right w:val="single" w:sz="8" w:space="0" w:color="000000"/>
            </w:tcBorders>
            <w:vAlign w:val="center"/>
          </w:tcPr>
          <w:p>
            <w:pPr>
              <w:spacing w:lineRule="auto"/>
              <w:jc w:val="left"/>
            </w:pPr>
            <w:r>
              <w:rPr>
                <w:rFonts w:eastAsia="Georgia" w:cs="Georgia" w:ascii="Georgia" w:hAnsi="Georgia"/>
              </w:rPr>
              <w:t xml:space="preserve">Categoría (Electronics, Accessories, Office)</w:t>
            </w:r>
          </w:p>
        </w:tc>
      </w:tr>
      <w:tr>
        <w:trPr>
          <w:cantSplit/>
        </w:trPr>
        <w:tc>
          <w:tcPr>
            <w:tcBorders>
              <w:left w:val="single" w:sz="8" w:space="0" w:color="000000"/>
              <w:right w:val="single" w:sz="8" w:space="0" w:color="000000"/>
            </w:tcBorders>
            <w:vAlign w:val="center"/>
          </w:tcPr>
          <w:p>
            <w:pPr>
              <w:spacing w:lineRule="auto"/>
              <w:jc w:val="left"/>
            </w:pPr>
            <w:r>
              <w:rPr/>
              <w:t xml:space="preserve">Region</w:t>
            </w:r>
          </w:p>
        </w:tc>
        <w:tc>
          <w:tcPr>
            <w:tcBorders>
              <w:right w:val="single" w:sz="8" w:space="0" w:color="000000"/>
            </w:tcBorders>
            <w:vAlign w:val="center"/>
          </w:tcPr>
          <w:p>
            <w:pPr>
              <w:spacing w:lineRule="auto"/>
              <w:jc w:val="left"/>
            </w:pPr>
            <w:r>
              <w:rPr>
                <w:rFonts w:eastAsia="Georgia" w:cs="Georgia" w:ascii="Georgia" w:hAnsi="Georgia"/>
              </w:rPr>
              <w:t xml:space="preserve">Categórica</w:t>
            </w:r>
          </w:p>
        </w:tc>
        <w:tc>
          <w:tcPr>
            <w:tcBorders>
              <w:right w:val="single" w:sz="8" w:space="0" w:color="000000"/>
            </w:tcBorders>
            <w:vAlign w:val="center"/>
          </w:tcPr>
          <w:p>
            <w:pPr>
              <w:spacing w:lineRule="auto"/>
              <w:jc w:val="left"/>
            </w:pPr>
            <w:r>
              <w:rPr>
                <w:rFonts w:eastAsia="Georgia" w:cs="Georgia" w:ascii="Georgia" w:hAnsi="Georgia"/>
              </w:rPr>
              <w:t xml:space="preserve">Región de venta (North, South, East, West)</w:t>
            </w:r>
          </w:p>
        </w:tc>
      </w:tr>
      <w:tr>
        <w:trPr>
          <w:cantSplit/>
        </w:trPr>
        <w:tc>
          <w:tcPr>
            <w:tcBorders>
              <w:left w:val="single" w:sz="8" w:space="0" w:color="000000"/>
              <w:right w:val="single" w:sz="8" w:space="0" w:color="000000"/>
            </w:tcBorders>
            <w:vAlign w:val="center"/>
          </w:tcPr>
          <w:p>
            <w:pPr>
              <w:spacing w:lineRule="auto"/>
              <w:jc w:val="left"/>
            </w:pPr>
            <w:r>
              <w:rPr/>
              <w:t xml:space="preserve">Quantity</w:t>
            </w:r>
          </w:p>
        </w:tc>
        <w:tc>
          <w:tcPr>
            <w:tcBorders>
              <w:right w:val="single" w:sz="8" w:space="0" w:color="000000"/>
            </w:tcBorders>
            <w:vAlign w:val="center"/>
          </w:tcPr>
          <w:p>
            <w:pPr>
              <w:spacing w:lineRule="auto"/>
              <w:jc w:val="left"/>
            </w:pPr>
            <w:r>
              <w:rPr>
                <w:rFonts w:eastAsia="Georgia" w:cs="Georgia" w:ascii="Georgia" w:hAnsi="Georgia"/>
              </w:rPr>
              <w:t xml:space="preserve">Numérica</w:t>
            </w:r>
          </w:p>
        </w:tc>
        <w:tc>
          <w:tcPr>
            <w:tcBorders>
              <w:right w:val="single" w:sz="8" w:space="0" w:color="000000"/>
            </w:tcBorders>
            <w:vAlign w:val="center"/>
          </w:tcPr>
          <w:p>
            <w:pPr>
              <w:spacing w:lineRule="auto"/>
              <w:jc w:val="left"/>
            </w:pPr>
            <w:r>
              <w:rPr/>
              <w:t xml:space="preserve">Unidades vendidas</w:t>
            </w:r>
          </w:p>
        </w:tc>
      </w:tr>
      <w:tr>
        <w:trPr>
          <w:cantSplit/>
        </w:trPr>
        <w:tc>
          <w:tcPr>
            <w:tcBorders>
              <w:left w:val="single" w:sz="8" w:space="0" w:color="000000"/>
              <w:right w:val="single" w:sz="8" w:space="0" w:color="000000"/>
            </w:tcBorders>
            <w:vAlign w:val="center"/>
          </w:tcPr>
          <w:p>
            <w:pPr>
              <w:spacing w:lineRule="auto"/>
              <w:jc w:val="left"/>
            </w:pPr>
            <w:r>
              <w:rPr/>
              <w:t xml:space="preserve">Sales</w:t>
            </w:r>
          </w:p>
        </w:tc>
        <w:tc>
          <w:tcPr>
            <w:tcBorders>
              <w:right w:val="single" w:sz="8" w:space="0" w:color="000000"/>
            </w:tcBorders>
            <w:vAlign w:val="center"/>
          </w:tcPr>
          <w:p>
            <w:pPr>
              <w:spacing w:lineRule="auto"/>
              <w:jc w:val="left"/>
            </w:pPr>
            <w:r>
              <w:rPr>
                <w:rFonts w:eastAsia="Georgia" w:cs="Georgia" w:ascii="Georgia" w:hAnsi="Georgia"/>
              </w:rPr>
              <w:t xml:space="preserve">Numérica</w:t>
            </w:r>
          </w:p>
        </w:tc>
        <w:tc>
          <w:tcPr>
            <w:tcBorders>
              <w:right w:val="single" w:sz="8" w:space="0" w:color="000000"/>
            </w:tcBorders>
            <w:vAlign w:val="center"/>
          </w:tcPr>
          <w:p>
            <w:pPr>
              <w:spacing w:lineRule="auto"/>
              <w:jc w:val="left"/>
            </w:pPr>
            <w:r>
              <w:rPr/>
              <w:t xml:space="preserve">Monto de ventas en USD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Profit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Numérica</w:t>
            </w:r>
          </w:p>
        </w:tc>
        <w:tc>
          <w:tcPr>
            <w:tcBorders>
              <w:bottom w:val="single" w:sz="8" w:space="0" w:color="000000"/>
              <w:right w:val="single" w:sz="8" w:space="0" w:color="000000"/>
            </w:tcBorders>
            <w:vAlign w:val="center"/>
          </w:tcPr>
          <w:p>
            <w:pPr>
              <w:spacing w:lineRule="auto"/>
              <w:jc w:val="left"/>
            </w:pPr>
            <w:r>
              <w:rPr/>
              <w:t xml:space="preserve">Ganancia generada en USD</w:t>
            </w:r>
          </w:p>
        </w:tc>
      </w:tr>
    </w:tbl>
    <w:p>
      <w:pPr>
        <w:spacing w:lineRule="auto"/>
      </w:pPr>
    </w:p>
    <w:p>
      <w:pPr>
        <w:spacing w:lineRule="auto"/>
      </w:pPr>
      <w:r>
        <w:rPr/>
        <w:t xml:space="preserve">Table 2: Estructura del dataset</w:t>
      </w:r>
    </w:p>
    <w:p>
      <w:pPr>
        <w:spacing w:line="271" w:before="240" w:lineRule="auto"/>
      </w:pPr>
      <w:bookmarkStart w:id="9" w:name="bm_4_2_calidad_de_los_datos"/>
      <w:r>
        <w:rPr>
          <w:b/>
          <w:sz w:val="33"/>
        </w:rPr>
        <w:t xml:space="preserve">4.2 Calidad de los datos</w:t>
      </w:r>
      <w:bookmarkEnd w:id="9"/>
    </w:p>
    <w:p>
      <w:pPr>
        <w:numPr>
          <w:ilvl w:val="0"/>
          <w:numId w:val="5"/>
        </w:numPr>
        <w:spacing w:lineRule="auto"/>
      </w:pPr>
      <w:r>
        <w:rPr/>
        <w:t xml:space="preserve">Valores faltantes: 0% en todas las columnas.</w:t>
      </w:r>
    </w:p>
    <w:p>
      <w:pPr>
        <w:numPr>
          <w:ilvl w:val="0"/>
          <w:numId w:val="5"/>
        </w:numPr>
        <w:spacing w:lineRule="auto"/>
      </w:pPr>
      <w:r>
        <w:rPr/>
        <w:t xml:space="preserve">Consistencia: No se detectaron inconsistencias en formatos o rangos de valores.</w:t>
      </w:r>
    </w:p>
    <w:p>
      <w:pPr>
        <w:numPr>
          <w:ilvl w:val="0"/>
          <w:numId w:val="5"/>
        </w:numPr>
        <w:spacing w:lineRule="auto"/>
      </w:pPr>
      <w:r>
        <w:rPr/>
        <w:t xml:space="preserve">Periodo temporal: Datos distribuidos entre enero 2022 y diciembre 2024.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bm_5_análisis_y_resultados"/>
      <w:r>
        <w:rPr>
          <w:rFonts w:eastAsia="Georgia" w:cs="Georgia" w:ascii="Georgia" w:hAnsi="Georgia"/>
          <w:b/>
          <w:sz w:val="42"/>
        </w:rPr>
        <w:t xml:space="preserve">5. ANÁLISIS Y RESULTADOS</w:t>
      </w:r>
      <w:bookmarkEnd w:id="10"/>
    </w:p>
    <w:p>
      <w:pPr>
        <w:spacing w:line="271" w:before="240" w:lineRule="auto"/>
      </w:pPr>
      <w:bookmarkStart w:id="11" w:name="bm_5_1_análisis_exploratorio_inic_402d49"/>
      <w:r>
        <w:rPr>
          <w:rFonts w:eastAsia="Georgia" w:cs="Georgia" w:ascii="Georgia" w:hAnsi="Georgia"/>
          <w:b/>
          <w:sz w:val="33"/>
        </w:rPr>
        <w:t xml:space="preserve">5.1 Análisis exploratorio inicial (Lección 1)</w:t>
      </w:r>
      <w:bookmarkEnd w:id="11"/>
    </w:p>
    <w:p>
      <w:pPr>
        <w:spacing w:after="210" w:lineRule="auto"/>
      </w:pPr>
      <w:r>
        <w:rPr>
          <w:b/>
        </w:rPr>
        <w:t xml:space="preserve">Variables identificadas:</w:t>
      </w:r>
    </w:p>
    <w:p>
      <w:pPr>
        <w:numPr>
          <w:ilvl w:val="0"/>
          <w:numId w:val="6"/>
        </w:numPr>
        <w:spacing w:lineRule="auto"/>
      </w:pPr>
      <w:r>
        <w:rPr>
          <w:rFonts w:eastAsia="Georgia" w:cs="Georgia" w:ascii="Georgia" w:hAnsi="Georgia"/>
        </w:rPr>
        <w:t xml:space="preserve">Numéricas: Quantity, Sales, Profit</w:t>
      </w:r>
    </w:p>
    <w:p>
      <w:pPr>
        <w:numPr>
          <w:ilvl w:val="0"/>
          <w:numId w:val="6"/>
        </w:numPr>
        <w:spacing w:lineRule="auto"/>
      </w:pPr>
      <w:r>
        <w:rPr>
          <w:rFonts w:eastAsia="Georgia" w:cs="Georgia" w:ascii="Georgia" w:hAnsi="Georgia"/>
        </w:rPr>
        <w:t xml:space="preserve">Categóricas: Product, Category, Region</w:t>
      </w:r>
    </w:p>
    <w:p>
      <w:pPr>
        <w:spacing w:after="210" w:lineRule="auto"/>
      </w:pPr>
      <w:r>
        <w:rPr>
          <w:b/>
        </w:rPr>
        <w:t xml:space="preserve">Variables derivadas creadas:</w:t>
      </w:r>
    </w:p>
    <w:p>
      <w:pPr>
        <w:numPr>
          <w:ilvl w:val="0"/>
          <w:numId w:val="7"/>
        </w:numPr>
        <w:spacing w:lineRule="auto"/>
      </w:pPr>
      <w:r>
        <w:rPr>
          <w:rFonts w:eastAsia="Georgia" w:cs="Georgia" w:ascii="Georgia" w:hAnsi="Georgia"/>
        </w:rPr>
        <w:t xml:space="preserve">Year: Año de la transacción</w:t>
      </w:r>
    </w:p>
    <w:p>
      <w:pPr>
        <w:numPr>
          <w:ilvl w:val="0"/>
          <w:numId w:val="7"/>
        </w:numPr>
        <w:spacing w:lineRule="auto"/>
      </w:pPr>
      <w:r>
        <w:rPr>
          <w:rFonts w:eastAsia="Georgia" w:cs="Georgia" w:ascii="Georgia" w:hAnsi="Georgia"/>
        </w:rPr>
        <w:t xml:space="preserve">Month: Mes de la transacción</w:t>
      </w:r>
    </w:p>
    <w:p>
      <w:pPr>
        <w:spacing w:after="210" w:lineRule="auto"/>
      </w:pPr>
      <w:r>
        <w:rPr>
          <w:b/>
        </w:rPr>
        <w:t xml:space="preserve">Primeros hallazgos:</w:t>
      </w:r>
    </w:p>
    <w:p>
      <w:pPr>
        <w:numPr>
          <w:ilvl w:val="0"/>
          <w:numId w:val="8"/>
        </w:numPr>
        <w:spacing w:lineRule="auto"/>
      </w:pPr>
      <w:r>
        <w:rPr/>
        <w:t xml:space="preserve">Transacciones distribuidas uniformemente entre 2022-2024.</w:t>
      </w:r>
    </w:p>
    <w:p>
      <w:pPr>
        <w:numPr>
          <w:ilvl w:val="0"/>
          <w:numId w:val="8"/>
        </w:numPr>
        <w:spacing w:lineRule="auto"/>
      </w:pPr>
      <w:r>
        <w:rPr>
          <w:rFonts w:eastAsia="Georgia" w:cs="Georgia" w:ascii="Georgia" w:hAnsi="Georgia"/>
        </w:rPr>
        <w:t xml:space="preserve">Amplio rango de valores en Sales (desde $10 hasta más de $10,000).</w:t>
      </w:r>
    </w:p>
    <w:p>
      <w:pPr>
        <w:numPr>
          <w:ilvl w:val="0"/>
          <w:numId w:val="8"/>
        </w:numPr>
        <w:spacing w:lineRule="auto"/>
      </w:pPr>
      <w:r>
        <w:rPr/>
        <w:t xml:space="preserve">Profit presenta casos negativos y valores extremos positivos.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bm_5_2_estadística_descriptiva_lección_2"/>
      <w:r>
        <w:rPr>
          <w:rFonts w:eastAsia="Georgia" w:cs="Georgia" w:ascii="Georgia" w:hAnsi="Georgia"/>
          <w:b/>
          <w:sz w:val="33"/>
        </w:rPr>
        <w:t xml:space="preserve">5.2 Estadística descriptiva (Lección 2)</w:t>
      </w:r>
      <w:bookmarkEnd w:id="12"/>
    </w:p>
    <w:p>
      <w:pPr>
        <w:spacing w:after="210" w:lineRule="auto"/>
      </w:pPr>
      <w:r>
        <w:rPr>
          <w:b/>
        </w:rPr>
        <w:t xml:space="preserve">Medidas de tendencia central y dispersión:</w:t>
      </w: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Variable</w:t>
            </w:r>
          </w:p>
        </w:tc>
        <w:tc>
          <w:tcPr>
            <w:tcBorders>
              <w:top w:val="single" w:sz="8" w:space="0" w:color="000000"/>
              <w:bottom w:val="single" w:sz="8" w:space="0" w:color="000000"/>
              <w:right w:val="single" w:sz="8" w:space="0" w:color="000000"/>
            </w:tcBorders>
            <w:vAlign w:val="center"/>
          </w:tcPr>
          <w:p>
            <w:pPr>
              <w:spacing w:lineRule="auto"/>
              <w:jc w:val="center"/>
            </w:pPr>
            <w:r>
              <w:rPr/>
              <w:t xml:space="preserve">Media</w:t>
            </w:r>
          </w:p>
        </w:tc>
        <w:tc>
          <w:tcPr>
            <w:tcBorders>
              <w:top w:val="single" w:sz="8" w:space="0" w:color="000000"/>
              <w:bottom w:val="single" w:sz="8" w:space="0" w:color="000000"/>
              <w:right w:val="single" w:sz="8" w:space="0" w:color="000000"/>
            </w:tcBorders>
            <w:vAlign w:val="center"/>
          </w:tcPr>
          <w:p>
            <w:pPr>
              <w:spacing w:lineRule="auto"/>
              <w:jc w:val="center"/>
            </w:pPr>
            <w:r>
              <w:rPr/>
              <w:t xml:space="preserve">Mediana</w:t>
            </w:r>
          </w:p>
        </w:tc>
        <w:tc>
          <w:tcPr>
            <w:tcBorders>
              <w:top w:val="single" w:sz="8" w:space="0" w:color="000000"/>
              <w:bottom w:val="single" w:sz="8" w:space="0" w:color="000000"/>
              <w:right w:val="single" w:sz="8" w:space="0" w:color="000000"/>
            </w:tcBorders>
            <w:vAlign w:val="center"/>
          </w:tcPr>
          <w:p>
            <w:pPr>
              <w:spacing w:lineRule="auto"/>
              <w:jc w:val="center"/>
            </w:pPr>
            <w:r>
              <w:rPr>
                <w:rFonts w:eastAsia="Georgia" w:cs="Georgia" w:ascii="Georgia" w:hAnsi="Georgia"/>
              </w:rPr>
              <w:t xml:space="preserve">Desv. Estándar</w:t>
            </w:r>
          </w:p>
        </w:tc>
        <w:tc>
          <w:tcPr>
            <w:tcBorders>
              <w:top w:val="single" w:sz="8" w:space="0" w:color="000000"/>
              <w:bottom w:val="single" w:sz="8" w:space="0" w:color="000000"/>
              <w:right w:val="single" w:sz="8" w:space="0" w:color="000000"/>
            </w:tcBorders>
            <w:vAlign w:val="center"/>
          </w:tcPr>
          <w:p>
            <w:pPr>
              <w:spacing w:lineRule="auto"/>
              <w:jc w:val="center"/>
            </w:pPr>
            <w:r>
              <w:rPr>
                <w:rFonts w:eastAsia="Georgia" w:cs="Georgia" w:ascii="Georgia" w:hAnsi="Georgia"/>
              </w:rPr>
              <w:t xml:space="preserve">Mín</w:t>
            </w:r>
          </w:p>
        </w:tc>
        <w:tc>
          <w:tcPr>
            <w:tcBorders>
              <w:top w:val="single" w:sz="8" w:space="0" w:color="000000"/>
              <w:bottom w:val="single" w:sz="8" w:space="0" w:color="000000"/>
              <w:right w:val="single" w:sz="8" w:space="0" w:color="000000"/>
            </w:tcBorders>
            <w:vAlign w:val="center"/>
          </w:tcPr>
          <w:p>
            <w:pPr>
              <w:spacing w:lineRule="auto"/>
              <w:jc w:val="center"/>
            </w:pPr>
            <w:r>
              <w:rPr>
                <w:rFonts w:eastAsia="Georgia" w:cs="Georgia" w:ascii="Georgia" w:hAnsi="Georgia"/>
              </w:rPr>
              <w:t xml:space="preserve">Máx</w:t>
            </w:r>
          </w:p>
        </w:tc>
      </w:tr>
      <w:tr>
        <w:trPr>
          <w:cantSplit/>
        </w:trPr>
        <w:tc>
          <w:tcPr>
            <w:tcBorders>
              <w:left w:val="single" w:sz="8" w:space="0" w:color="000000"/>
              <w:right w:val="single" w:sz="8" w:space="0" w:color="000000"/>
            </w:tcBorders>
            <w:vAlign w:val="center"/>
          </w:tcPr>
          <w:p>
            <w:pPr>
              <w:spacing w:lineRule="auto"/>
              <w:jc w:val="left"/>
            </w:pPr>
            <w:r>
              <w:rPr/>
              <w:t xml:space="preserve">Quantity</w:t>
            </w:r>
          </w:p>
        </w:tc>
        <w:tc>
          <w:tcPr>
            <w:tcBorders>
              <w:right w:val="single" w:sz="8" w:space="0" w:color="000000"/>
            </w:tcBorders>
            <w:vAlign w:val="center"/>
          </w:tcPr>
          <w:p>
            <w:pPr>
              <w:spacing w:lineRule="auto"/>
              <w:jc w:val="center"/>
            </w:pPr>
            <w:r>
              <w:rPr/>
              <w:t xml:space="preserve">5.0</w:t>
            </w:r>
          </w:p>
        </w:tc>
        <w:tc>
          <w:tcPr>
            <w:tcBorders>
              <w:right w:val="single" w:sz="8" w:space="0" w:color="000000"/>
            </w:tcBorders>
            <w:vAlign w:val="center"/>
          </w:tcPr>
          <w:p>
            <w:pPr>
              <w:spacing w:lineRule="auto"/>
              <w:jc w:val="center"/>
            </w:pPr>
            <w:r>
              <w:rPr/>
              <w:t xml:space="preserve">5.0</w:t>
            </w:r>
          </w:p>
        </w:tc>
        <w:tc>
          <w:tcPr>
            <w:tcBorders>
              <w:right w:val="single" w:sz="8" w:space="0" w:color="000000"/>
            </w:tcBorders>
            <w:vAlign w:val="center"/>
          </w:tcPr>
          <w:p>
            <w:pPr>
              <w:spacing w:lineRule="auto"/>
              <w:jc w:val="center"/>
            </w:pPr>
            <w:r>
              <w:rPr/>
              <w:t xml:space="preserve">2.6</w:t>
            </w:r>
          </w:p>
        </w:tc>
        <w:tc>
          <w:tcPr>
            <w:tcBorders>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center"/>
            </w:pPr>
            <w:r>
              <w:rPr/>
              <w:t xml:space="preserve">9</w:t>
            </w:r>
          </w:p>
        </w:tc>
      </w:tr>
      <w:tr>
        <w:trPr>
          <w:cantSplit/>
        </w:trPr>
        <w:tc>
          <w:tcPr>
            <w:tcBorders>
              <w:left w:val="single" w:sz="8" w:space="0" w:color="000000"/>
              <w:right w:val="single" w:sz="8" w:space="0" w:color="000000"/>
            </w:tcBorders>
            <w:vAlign w:val="center"/>
          </w:tcPr>
          <w:p>
            <w:pPr>
              <w:spacing w:lineRule="auto"/>
              <w:jc w:val="left"/>
            </w:pPr>
            <w:r>
              <w:rPr/>
              <w:t xml:space="preserve">Sales</w:t>
            </w:r>
          </w:p>
        </w:tc>
        <w:tc>
          <w:tcPr>
            <w:tcBorders>
              <w:right w:val="single" w:sz="8" w:space="0" w:color="000000"/>
            </w:tcBorders>
            <w:vAlign w:val="center"/>
          </w:tcPr>
          <w:p>
            <w:pPr>
              <w:spacing w:lineRule="auto"/>
              <w:jc w:val="center"/>
            </w:pPr>
            <w:r>
              <w:rPr/>
              <w:t xml:space="preserve">3,078</w:t>
            </w:r>
          </w:p>
        </w:tc>
        <w:tc>
          <w:tcPr>
            <w:tcBorders>
              <w:right w:val="single" w:sz="8" w:space="0" w:color="000000"/>
            </w:tcBorders>
            <w:vAlign w:val="center"/>
          </w:tcPr>
          <w:p>
            <w:pPr>
              <w:spacing w:lineRule="auto"/>
              <w:jc w:val="center"/>
            </w:pPr>
            <w:r>
              <w:rPr/>
              <w:t xml:space="preserve">2,472</w:t>
            </w:r>
          </w:p>
        </w:tc>
        <w:tc>
          <w:tcPr>
            <w:tcBorders>
              <w:right w:val="single" w:sz="8" w:space="0" w:color="000000"/>
            </w:tcBorders>
            <w:vAlign w:val="center"/>
          </w:tcPr>
          <w:p>
            <w:pPr>
              <w:spacing w:lineRule="auto"/>
              <w:jc w:val="center"/>
            </w:pPr>
            <w:r>
              <w:rPr/>
              <w:t xml:space="preserve">2,498</w:t>
            </w:r>
          </w:p>
        </w:tc>
        <w:tc>
          <w:tcPr>
            <w:tcBorders>
              <w:right w:val="single" w:sz="8" w:space="0" w:color="000000"/>
            </w:tcBorders>
            <w:vAlign w:val="center"/>
          </w:tcPr>
          <w:p>
            <w:pPr>
              <w:spacing w:lineRule="auto"/>
              <w:jc w:val="center"/>
            </w:pPr>
            <w:r>
              <w:rPr/>
              <w:t xml:space="preserve">10</w:t>
            </w:r>
          </w:p>
        </w:tc>
        <w:tc>
          <w:tcPr>
            <w:tcBorders>
              <w:right w:val="single" w:sz="8" w:space="0" w:color="000000"/>
            </w:tcBorders>
            <w:vAlign w:val="center"/>
          </w:tcPr>
          <w:p>
            <w:pPr>
              <w:spacing w:lineRule="auto"/>
              <w:jc w:val="center"/>
            </w:pPr>
            <w:r>
              <w:rPr/>
              <w:t xml:space="preserve">10,656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Profit</w:t>
            </w:r>
          </w:p>
        </w:tc>
        <w:tc>
          <w:tcPr>
            <w:tcBorders>
              <w:bottom w:val="single" w:sz="8" w:space="0" w:color="000000"/>
              <w:right w:val="single" w:sz="8" w:space="0" w:color="000000"/>
            </w:tcBorders>
            <w:vAlign w:val="center"/>
          </w:tcPr>
          <w:p>
            <w:pPr>
              <w:spacing w:lineRule="auto"/>
              <w:jc w:val="center"/>
            </w:pPr>
            <w:r>
              <w:rPr/>
              <w:t xml:space="preserve">541</w:t>
            </w:r>
          </w:p>
        </w:tc>
        <w:tc>
          <w:tcPr>
            <w:tcBorders>
              <w:bottom w:val="single" w:sz="8" w:space="0" w:color="000000"/>
              <w:right w:val="single" w:sz="8" w:space="0" w:color="000000"/>
            </w:tcBorders>
            <w:vAlign w:val="center"/>
          </w:tcPr>
          <w:p>
            <w:pPr>
              <w:spacing w:lineRule="auto"/>
              <w:jc w:val="center"/>
            </w:pPr>
            <w:r>
              <w:rPr/>
              <w:t xml:space="preserve">422</w:t>
            </w:r>
          </w:p>
        </w:tc>
        <w:tc>
          <w:tcPr>
            <w:tcBorders>
              <w:bottom w:val="single" w:sz="8" w:space="0" w:color="000000"/>
              <w:right w:val="single" w:sz="8" w:space="0" w:color="000000"/>
            </w:tcBorders>
            <w:vAlign w:val="center"/>
          </w:tcPr>
          <w:p>
            <w:pPr>
              <w:spacing w:lineRule="auto"/>
              <w:jc w:val="center"/>
            </w:pPr>
            <w:r>
              <w:rPr/>
              <w:t xml:space="preserve">493</w:t>
            </w:r>
          </w:p>
        </w:tc>
        <w:tc>
          <w:tcPr>
            <w:tcBorders>
              <w:bottom w:val="single" w:sz="8" w:space="0" w:color="000000"/>
              <w:right w:val="single" w:sz="8" w:space="0" w:color="000000"/>
            </w:tcBorders>
            <w:vAlign w:val="center"/>
          </w:tcPr>
          <w:p>
            <w:pPr>
              <w:spacing w:lineRule="auto"/>
              <w:jc w:val="center"/>
            </w:pPr>
            <w:r>
              <w:rPr/>
              <w:t xml:space="preserve">10</w:t>
            </w:r>
          </w:p>
        </w:tc>
        <w:tc>
          <w:tcPr>
            <w:tcBorders>
              <w:bottom w:val="single" w:sz="8" w:space="0" w:color="000000"/>
              <w:right w:val="single" w:sz="8" w:space="0" w:color="000000"/>
            </w:tcBorders>
            <w:vAlign w:val="center"/>
          </w:tcPr>
          <w:p>
            <w:pPr>
              <w:spacing w:lineRule="auto"/>
              <w:jc w:val="center"/>
            </w:pPr>
            <w:r>
              <w:rPr/>
              <w:t xml:space="preserve">2,799</w:t>
            </w:r>
          </w:p>
        </w:tc>
      </w:tr>
    </w:tbl>
    <w:p>
      <w:pPr>
        <w:spacing w:lineRule="auto"/>
      </w:pPr>
    </w:p>
    <w:p>
      <w:pPr>
        <w:spacing w:lineRule="auto"/>
      </w:pPr>
      <w:r>
        <w:rPr>
          <w:rFonts w:eastAsia="Georgia" w:cs="Georgia" w:ascii="Georgia" w:hAnsi="Georgia"/>
        </w:rPr>
        <w:t xml:space="preserve">Table 3: Estadísticas descriptivas de variables numéricas</w:t>
      </w:r>
    </w:p>
    <w:p>
      <w:pPr>
        <w:spacing w:after="210" w:lineRule="auto"/>
      </w:pPr>
      <w:r>
        <w:rPr>
          <w:b/>
        </w:rPr>
        <w:t xml:space="preserve">Observaciones clave:</w:t>
      </w:r>
    </w:p>
    <w:p>
      <w:pPr>
        <w:numPr>
          <w:ilvl w:val="0"/>
          <w:numId w:val="9"/>
        </w:numPr>
        <w:spacing w:lineRule="auto"/>
      </w:pPr>
      <w:r>
        <w:rPr>
          <w:rFonts w:eastAsia="Georgia" w:cs="Georgia" w:ascii="Georgia" w:hAnsi="Georgia"/>
        </w:rPr>
        <w:t xml:space="preserve">Sales presenta alta dispersión (coeficiente de variación ~81%), indicando gran variabilidad en montos de transacción.</w:t>
      </w:r>
    </w:p>
    <w:p>
      <w:pPr>
        <w:numPr>
          <w:ilvl w:val="0"/>
          <w:numId w:val="9"/>
        </w:numPr>
        <w:spacing w:lineRule="auto"/>
      </w:pPr>
      <w:r>
        <w:rPr>
          <w:rFonts w:eastAsia="Georgia" w:cs="Georgia" w:ascii="Georgia" w:hAnsi="Georgia"/>
        </w:rPr>
        <w:t xml:space="preserve">Profit muestra distribución asimétrica con concentración en valores bajos y cola larga hacia valores altos.</w:t>
      </w:r>
    </w:p>
    <w:p>
      <w:pPr>
        <w:numPr>
          <w:ilvl w:val="0"/>
          <w:numId w:val="9"/>
        </w:numPr>
        <w:spacing w:lineRule="auto"/>
      </w:pPr>
      <w:r>
        <w:rPr>
          <w:rFonts w:eastAsia="Georgia" w:cs="Georgia" w:ascii="Georgia" w:hAnsi="Georgia"/>
        </w:rPr>
        <w:t xml:space="preserve">Se detectaron aproximadamente 50 outliers en Profit (valores extremadamente altos o bajos según IQR).</w:t>
      </w:r>
    </w:p>
    <w:p>
      <w:pPr>
        <w:spacing w:after="210" w:lineRule="auto"/>
      </w:pPr>
      <w:r>
        <w:rPr>
          <w:b/>
        </w:rPr>
        <w:t xml:space="preserve">Distribuciones por categoría:</w:t>
      </w:r>
    </w:p>
    <w:p>
      <w:pPr>
        <w:numPr>
          <w:ilvl w:val="0"/>
          <w:numId w:val="10"/>
        </w:numPr>
        <w:spacing w:lineRule="auto"/>
      </w:pPr>
      <w:r>
        <w:rPr/>
        <w:t xml:space="preserve">Electronics concentra las ventas de mayor monto promedio.</w:t>
      </w:r>
    </w:p>
    <w:p>
      <w:pPr>
        <w:numPr>
          <w:ilvl w:val="0"/>
          <w:numId w:val="10"/>
        </w:numPr>
        <w:spacing w:lineRule="auto"/>
      </w:pPr>
      <w:r>
        <w:rPr/>
        <w:t xml:space="preserve">Accessories tiene mayor frecuencia de transacciones pero montos menores.</w:t>
      </w:r>
    </w:p>
    <w:p>
      <w:pPr>
        <w:numPr>
          <w:ilvl w:val="0"/>
          <w:numId w:val="10"/>
        </w:numPr>
        <w:spacing w:lineRule="auto"/>
      </w:pPr>
      <w:r>
        <w:rPr>
          <w:rFonts w:eastAsia="Georgia" w:cs="Georgia" w:ascii="Georgia" w:hAnsi="Georgia"/>
        </w:rPr>
        <w:t xml:space="preserve">Office presenta el comportamiento más estable en ganancia.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bm_5_3_análisis_de_correlación_lección_3"/>
      <w:r>
        <w:rPr>
          <w:rFonts w:eastAsia="Georgia" w:cs="Georgia" w:ascii="Georgia" w:hAnsi="Georgia"/>
          <w:b/>
          <w:sz w:val="33"/>
        </w:rPr>
        <w:t xml:space="preserve">5.3 Análisis de correlación (Lección 3)</w:t>
      </w:r>
      <w:bookmarkEnd w:id="13"/>
    </w:p>
    <w:p>
      <w:pPr>
        <w:spacing w:after="210" w:lineRule="auto"/>
      </w:pPr>
      <w:r>
        <w:rPr>
          <w:b/>
        </w:rPr>
        <w:t xml:space="preserve">Matriz de correlación (Pearson):</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tc>
        <w:tc>
          <w:tcPr>
            <w:tcBorders>
              <w:top w:val="single" w:sz="8" w:space="0" w:color="000000"/>
              <w:bottom w:val="single" w:sz="8" w:space="0" w:color="000000"/>
              <w:right w:val="single" w:sz="8" w:space="0" w:color="000000"/>
            </w:tcBorders>
            <w:vAlign w:val="center"/>
          </w:tcPr>
          <w:p>
            <w:pPr>
              <w:spacing w:lineRule="auto"/>
              <w:jc w:val="center"/>
            </w:pPr>
            <w:r>
              <w:rPr/>
              <w:t xml:space="preserve">Quantity</w:t>
            </w:r>
          </w:p>
        </w:tc>
        <w:tc>
          <w:tcPr>
            <w:tcBorders>
              <w:top w:val="single" w:sz="8" w:space="0" w:color="000000"/>
              <w:bottom w:val="single" w:sz="8" w:space="0" w:color="000000"/>
              <w:right w:val="single" w:sz="8" w:space="0" w:color="000000"/>
            </w:tcBorders>
            <w:vAlign w:val="center"/>
          </w:tcPr>
          <w:p>
            <w:pPr>
              <w:spacing w:lineRule="auto"/>
              <w:jc w:val="center"/>
            </w:pPr>
            <w:r>
              <w:rPr/>
              <w:t xml:space="preserve">Sales</w:t>
            </w:r>
          </w:p>
        </w:tc>
        <w:tc>
          <w:tcPr>
            <w:tcBorders>
              <w:top w:val="single" w:sz="8" w:space="0" w:color="000000"/>
              <w:bottom w:val="single" w:sz="8" w:space="0" w:color="000000"/>
              <w:right w:val="single" w:sz="8" w:space="0" w:color="000000"/>
            </w:tcBorders>
            <w:vAlign w:val="center"/>
          </w:tcPr>
          <w:p>
            <w:pPr>
              <w:spacing w:lineRule="auto"/>
              <w:jc w:val="center"/>
            </w:pPr>
            <w:r>
              <w:rPr/>
              <w:t xml:space="preserve">Profit</w:t>
            </w:r>
          </w:p>
        </w:tc>
      </w:tr>
      <w:tr>
        <w:trPr>
          <w:cantSplit/>
        </w:trPr>
        <w:tc>
          <w:tcPr>
            <w:tcBorders>
              <w:left w:val="single" w:sz="8" w:space="0" w:color="000000"/>
              <w:right w:val="single" w:sz="8" w:space="0" w:color="000000"/>
            </w:tcBorders>
            <w:vAlign w:val="center"/>
          </w:tcPr>
          <w:p>
            <w:pPr>
              <w:spacing w:lineRule="auto"/>
              <w:jc w:val="left"/>
            </w:pPr>
            <w:r>
              <w:rPr/>
              <w:t xml:space="preserve">Quantity</w:t>
            </w:r>
          </w:p>
        </w:tc>
        <w:tc>
          <w:tcPr>
            <w:tcBorders>
              <w:right w:val="single" w:sz="8" w:space="0" w:color="000000"/>
            </w:tcBorders>
            <w:vAlign w:val="center"/>
          </w:tcPr>
          <w:p>
            <w:pPr>
              <w:spacing w:lineRule="auto"/>
              <w:jc w:val="center"/>
            </w:pPr>
            <w:r>
              <w:rPr/>
              <w:t xml:space="preserve">1.00</w:t>
            </w:r>
          </w:p>
        </w:tc>
        <w:tc>
          <w:tcPr>
            <w:tcBorders>
              <w:right w:val="single" w:sz="8" w:space="0" w:color="000000"/>
            </w:tcBorders>
            <w:vAlign w:val="center"/>
          </w:tcPr>
          <w:p>
            <w:pPr>
              <w:spacing w:lineRule="auto"/>
              <w:jc w:val="center"/>
            </w:pPr>
            <w:r>
              <w:rPr/>
              <w:t xml:space="preserve">0.52</w:t>
            </w:r>
          </w:p>
        </w:tc>
        <w:tc>
          <w:tcPr>
            <w:tcBorders>
              <w:right w:val="single" w:sz="8" w:space="0" w:color="000000"/>
            </w:tcBorders>
            <w:vAlign w:val="center"/>
          </w:tcPr>
          <w:p>
            <w:pPr>
              <w:spacing w:lineRule="auto"/>
              <w:jc w:val="center"/>
            </w:pPr>
            <w:r>
              <w:rPr/>
              <w:t xml:space="preserve">0.46</w:t>
            </w:r>
          </w:p>
        </w:tc>
      </w:tr>
      <w:tr>
        <w:trPr>
          <w:cantSplit/>
        </w:trPr>
        <w:tc>
          <w:tcPr>
            <w:tcBorders>
              <w:left w:val="single" w:sz="8" w:space="0" w:color="000000"/>
              <w:right w:val="single" w:sz="8" w:space="0" w:color="000000"/>
            </w:tcBorders>
            <w:vAlign w:val="center"/>
          </w:tcPr>
          <w:p>
            <w:pPr>
              <w:spacing w:lineRule="auto"/>
              <w:jc w:val="left"/>
            </w:pPr>
            <w:r>
              <w:rPr/>
              <w:t xml:space="preserve">Sales</w:t>
            </w:r>
          </w:p>
        </w:tc>
        <w:tc>
          <w:tcPr>
            <w:tcBorders>
              <w:right w:val="single" w:sz="8" w:space="0" w:color="000000"/>
            </w:tcBorders>
            <w:vAlign w:val="center"/>
          </w:tcPr>
          <w:p>
            <w:pPr>
              <w:spacing w:lineRule="auto"/>
              <w:jc w:val="center"/>
            </w:pPr>
            <w:r>
              <w:rPr/>
              <w:t xml:space="preserve">0.52</w:t>
            </w:r>
          </w:p>
        </w:tc>
        <w:tc>
          <w:tcPr>
            <w:tcBorders>
              <w:right w:val="single" w:sz="8" w:space="0" w:color="000000"/>
            </w:tcBorders>
            <w:vAlign w:val="center"/>
          </w:tcPr>
          <w:p>
            <w:pPr>
              <w:spacing w:lineRule="auto"/>
              <w:jc w:val="center"/>
            </w:pPr>
            <w:r>
              <w:rPr/>
              <w:t xml:space="preserve">1.00</w:t>
            </w:r>
          </w:p>
        </w:tc>
        <w:tc>
          <w:tcPr>
            <w:tcBorders>
              <w:right w:val="single" w:sz="8" w:space="0" w:color="000000"/>
            </w:tcBorders>
            <w:vAlign w:val="center"/>
          </w:tcPr>
          <w:p>
            <w:pPr>
              <w:spacing w:lineRule="auto"/>
              <w:jc w:val="center"/>
            </w:pPr>
            <w:r>
              <w:rPr/>
              <w:t xml:space="preserve">0.88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Profit</w:t>
            </w:r>
          </w:p>
        </w:tc>
        <w:tc>
          <w:tcPr>
            <w:tcBorders>
              <w:bottom w:val="single" w:sz="8" w:space="0" w:color="000000"/>
              <w:right w:val="single" w:sz="8" w:space="0" w:color="000000"/>
            </w:tcBorders>
            <w:vAlign w:val="center"/>
          </w:tcPr>
          <w:p>
            <w:pPr>
              <w:spacing w:lineRule="auto"/>
              <w:jc w:val="center"/>
            </w:pPr>
            <w:r>
              <w:rPr/>
              <w:t xml:space="preserve">0.46</w:t>
            </w:r>
          </w:p>
        </w:tc>
        <w:tc>
          <w:tcPr>
            <w:tcBorders>
              <w:bottom w:val="single" w:sz="8" w:space="0" w:color="000000"/>
              <w:right w:val="single" w:sz="8" w:space="0" w:color="000000"/>
            </w:tcBorders>
            <w:vAlign w:val="center"/>
          </w:tcPr>
          <w:p>
            <w:pPr>
              <w:spacing w:lineRule="auto"/>
              <w:jc w:val="center"/>
            </w:pPr>
            <w:r>
              <w:rPr/>
              <w:t xml:space="preserve">0.88</w:t>
            </w:r>
          </w:p>
        </w:tc>
        <w:tc>
          <w:tcPr>
            <w:tcBorders>
              <w:bottom w:val="single" w:sz="8" w:space="0" w:color="000000"/>
              <w:right w:val="single" w:sz="8" w:space="0" w:color="000000"/>
            </w:tcBorders>
            <w:vAlign w:val="center"/>
          </w:tcPr>
          <w:p>
            <w:pPr>
              <w:spacing w:lineRule="auto"/>
              <w:jc w:val="center"/>
            </w:pPr>
            <w:r>
              <w:rPr/>
              <w:t xml:space="preserve">1.00</w:t>
            </w:r>
          </w:p>
        </w:tc>
      </w:tr>
    </w:tbl>
    <w:p>
      <w:pPr>
        <w:spacing w:lineRule="auto"/>
      </w:pPr>
    </w:p>
    <w:p>
      <w:pPr>
        <w:spacing w:lineRule="auto"/>
      </w:pPr>
      <w:r>
        <w:rPr>
          <w:rFonts w:eastAsia="Georgia" w:cs="Georgia" w:ascii="Georgia" w:hAnsi="Georgia"/>
        </w:rPr>
        <w:t xml:space="preserve">Table 4: Matriz de correlación entre variables numéricas</w:t>
      </w:r>
    </w:p>
    <w:p>
      <w:pPr>
        <w:spacing w:after="210" w:lineRule="auto"/>
      </w:pPr>
      <w:r>
        <w:rPr>
          <w:b/>
        </w:rPr>
        <w:t xml:space="preserve">Hallazgos principales:</w:t>
      </w:r>
    </w:p>
    <w:p>
      <w:pPr>
        <w:numPr>
          <w:ilvl w:val="0"/>
          <w:numId w:val="11"/>
        </w:numPr>
        <w:spacing w:lineRule="auto"/>
      </w:pPr>
      <w:r>
        <w:rPr>
          <w:rFonts w:eastAsia="Georgia" w:cs="Georgia" w:ascii="Georgia" w:hAnsi="Georgia"/>
        </w:rPr>
        <w:t xml:space="preserve">Sales y Profit tienen correlación muy alta (r = 0.88), lo cual es esperado: mayores ventas tienden a generar mayores ganancias.</w:t>
      </w:r>
    </w:p>
    <w:p>
      <w:pPr>
        <w:numPr>
          <w:ilvl w:val="0"/>
          <w:numId w:val="11"/>
        </w:numPr>
        <w:spacing w:lineRule="auto"/>
      </w:pPr>
      <w:r>
        <w:rPr>
          <w:rFonts w:eastAsia="Georgia" w:cs="Georgia" w:ascii="Georgia" w:hAnsi="Georgia"/>
        </w:rPr>
        <w:t xml:space="preserve">Quantity tiene correlación moderada con Sales (r = 0.52) y Profit (r = 0.46), sugiriendo que el valor unitario de los productos varía considerablemente.</w:t>
      </w:r>
    </w:p>
    <w:p>
      <w:pPr>
        <w:numPr>
          <w:ilvl w:val="0"/>
          <w:numId w:val="11"/>
        </w:numPr>
        <w:spacing w:lineRule="auto"/>
      </w:pPr>
      <w:r>
        <w:rPr/>
        <w:t xml:space="preserve">No se detectaron correlaciones espurias evidentes.</w:t>
      </w:r>
    </w:p>
    <w:p>
      <w:pPr>
        <w:spacing w:after="210" w:lineRule="auto"/>
      </w:pPr>
      <w:r>
        <w:rPr>
          <w:b/>
        </w:rPr>
        <w:t xml:space="preserve">Análisis visual:</w:t>
      </w:r>
    </w:p>
    <w:p>
      <w:pPr>
        <w:numPr>
          <w:ilvl w:val="0"/>
          <w:numId w:val="12"/>
        </w:numPr>
        <w:spacing w:lineRule="auto"/>
      </w:pPr>
      <w:r>
        <w:rPr>
          <w:rFonts w:eastAsia="Georgia" w:cs="Georgia" w:ascii="Georgia" w:hAnsi="Georgia"/>
        </w:rPr>
        <w:t xml:space="preserve">Los scatterplots confirman relación lineal positiva entre Sales y Profit, con mayor dispersión en valores altos.</w:t>
      </w:r>
    </w:p>
    <w:p>
      <w:pPr>
        <w:numPr>
          <w:ilvl w:val="0"/>
          <w:numId w:val="12"/>
        </w:numPr>
        <w:spacing w:lineRule="auto"/>
      </w:pPr>
      <w:r>
        <w:rPr>
          <w:rFonts w:eastAsia="Georgia" w:cs="Georgia" w:ascii="Georgia" w:hAnsi="Georgia"/>
        </w:rPr>
        <w:t xml:space="preserve">Existen productos de alto volumen (Quantity) con márgenes bajos y viceversa.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bm_5_4_modelos_de_regresión_linea_2baefe"/>
      <w:r>
        <w:rPr>
          <w:rFonts w:eastAsia="Georgia" w:cs="Georgia" w:ascii="Georgia" w:hAnsi="Georgia"/>
          <w:b/>
          <w:sz w:val="33"/>
        </w:rPr>
        <w:t xml:space="preserve">5.4 Modelos de regresión lineal (Lección 4)</w:t>
      </w:r>
      <w:bookmarkEnd w:id="14"/>
    </w:p>
    <w:p>
      <w:pPr>
        <w:spacing w:after="210" w:lineRule="auto"/>
      </w:pPr>
      <w:r>
        <w:rPr>
          <w:b/>
        </w:rPr>
        <w:t xml:space="preserve">Modelo 1: Regresión simple - Profit ~ Sales</w:t>
      </w:r>
    </w:p>
    <w:p>
      <w:pPr>
        <w:spacing w:after="210" w:lineRule="auto"/>
      </w:pPr>
      <m:oMathPara>
        <m:oMath>
          <m:sSup>
            <m:sSupPr/>
            <m:e>
              <m:r>
                <m:rPr>
                  <m:sty m:val="i"/>
                </m:rPr>
                <m:t>R</m:t>
              </m:r>
            </m:e>
            <m:sup>
              <m:r>
                <m:rPr>
                  <m:sty m:val="p"/>
                </m:rPr>
                <m:t>2</m:t>
              </m:r>
            </m:sup>
          </m:sSup>
          <m:r>
            <m:rPr>
              <m:sty m:val="p"/>
            </m:rPr>
            <m:t>=</m:t>
          </m:r>
          <m:r>
            <m:rPr>
              <m:sty m:val="p"/>
            </m:rPr>
            <m:t>0.77</m:t>
          </m:r>
        </m:oMath>
      </m:oMathPara>
    </w:p>
    <w:p>
      <w:pPr>
        <w:spacing w:after="210" w:lineRule="auto"/>
      </w:pPr>
      <w:r>
        <w:rPr/>
        <w:t xml:space="preserve">Coeficiente Sales: 0.173 (p &lt; 0.001)</w:t>
      </w:r>
    </w:p>
    <w:p>
      <w:pPr>
        <w:spacing w:after="210" w:lineRule="auto"/>
      </w:pPr>
      <w:r>
        <w:rPr/>
        <w:t xml:space="preserve">Intercepto: 9.12 (p &lt; 0.001)</w:t>
      </w:r>
    </w:p>
    <w:p>
      <w:pPr>
        <w:spacing w:after="210" w:lineRule="auto"/>
      </w:pPr>
      <w:r>
        <w:rPr>
          <w:b/>
        </w:rPr>
        <w:t xml:space="preserve">Interpretación:</w:t>
      </w:r>
    </w:p>
    <w:p>
      <w:pPr>
        <w:numPr>
          <w:ilvl w:val="0"/>
          <w:numId w:val="13"/>
        </w:numPr>
        <w:spacing w:lineRule="auto"/>
      </w:pPr>
      <w:r>
        <w:rPr/>
        <w:t xml:space="preserve">El modelo explica el 77% de la variabilidad en Profit.</w:t>
      </w:r>
    </w:p>
    <w:p>
      <w:pPr>
        <w:numPr>
          <w:ilvl w:val="0"/>
          <w:numId w:val="13"/>
        </w:numPr>
        <w:spacing w:lineRule="auto"/>
      </w:pPr>
      <w:r>
        <w:rPr>
          <w:rFonts w:eastAsia="Georgia" w:cs="Georgia" w:ascii="Georgia" w:hAnsi="Georgia"/>
        </w:rPr>
        <w:t xml:space="preserve">Por cada dólar adicional en Sales, se espera un incremento de $0.17 en Profit.</w:t>
      </w:r>
    </w:p>
    <w:p>
      <w:pPr>
        <w:numPr>
          <w:ilvl w:val="0"/>
          <w:numId w:val="13"/>
        </w:numPr>
        <w:spacing w:lineRule="auto"/>
      </w:pPr>
      <w:r>
        <w:rPr/>
        <w:t xml:space="preserve">El predictor es altamente significativo (p &lt; 0.001).</w:t>
      </w:r>
    </w:p>
    <w:p>
      <w:pPr>
        <w:spacing w:after="210" w:lineRule="auto"/>
      </w:pPr>
      <w:r>
        <w:rPr>
          <w:b/>
        </w:rPr>
        <w:t xml:space="preserve">Modelo 2: Regresión múltiple - Profit ~ Sales + Quantity</w:t>
      </w:r>
    </w:p>
    <w:p>
      <w:pPr>
        <w:spacing w:after="210" w:lineRule="auto"/>
      </w:pPr>
      <m:oMathPara>
        <m:oMath>
          <m:sSup>
            <m:sSupPr/>
            <m:e>
              <m:r>
                <m:rPr>
                  <m:sty m:val="i"/>
                </m:rPr>
                <m:t>R</m:t>
              </m:r>
            </m:e>
            <m:sup>
              <m:r>
                <m:rPr>
                  <m:sty m:val="p"/>
                </m:rPr>
                <m:t>2</m:t>
              </m:r>
            </m:sup>
          </m:sSup>
          <m:r>
            <m:rPr>
              <m:sty m:val="p"/>
            </m:rPr>
            <m:t>=</m:t>
          </m:r>
          <m:r>
            <m:rPr>
              <m:sty m:val="p"/>
            </m:rPr>
            <m:t>0.78</m:t>
          </m:r>
        </m:oMath>
      </m:oMathPara>
    </w:p>
    <w:p>
      <w:pPr>
        <w:spacing w:after="210" w:lineRule="auto"/>
      </w:pPr>
      <w:r>
        <w:rPr/>
        <w:t xml:space="preserve">Coeficiente Sales: 0.169 (p &lt; 0.001)</w:t>
      </w:r>
    </w:p>
    <w:p>
      <w:pPr>
        <w:spacing w:after="210" w:lineRule="auto"/>
      </w:pPr>
      <w:r>
        <w:rPr/>
        <w:t xml:space="preserve">Coeficiente Quantity: 16.8 (p &lt; 0.001)</w:t>
      </w:r>
    </w:p>
    <w:p>
      <w:pPr>
        <w:spacing w:after="210" w:lineRule="auto"/>
      </w:pPr>
      <w:r>
        <w:rPr>
          <w:b/>
        </w:rPr>
        <w:t xml:space="preserve">Interpretación:</w:t>
      </w:r>
    </w:p>
    <w:p>
      <w:pPr>
        <w:numPr>
          <w:ilvl w:val="0"/>
          <w:numId w:val="14"/>
        </w:numPr>
        <w:spacing w:lineRule="auto"/>
      </w:pPr>
      <w:r>
        <w:rPr>
          <w:rFonts w:eastAsia="Georgia" w:cs="Georgia" w:ascii="Georgia" w:hAnsi="Georgia"/>
        </w:rPr>
        <w:t xml:space="preserve">Agregar Quantity mejora ligeramente el R² (de 0.77 a 0.78).</w:t>
      </w:r>
    </w:p>
    <w:p>
      <w:pPr>
        <w:numPr>
          <w:ilvl w:val="0"/>
          <w:numId w:val="14"/>
        </w:numPr>
        <w:spacing w:lineRule="auto"/>
      </w:pPr>
      <w:r>
        <w:rPr/>
        <w:t xml:space="preserve">Ambos predictores son significativos.</w:t>
      </w:r>
    </w:p>
    <w:p>
      <w:pPr>
        <w:numPr>
          <w:ilvl w:val="0"/>
          <w:numId w:val="14"/>
        </w:numPr>
        <w:spacing w:lineRule="auto"/>
      </w:pPr>
      <w:r>
        <w:rPr/>
        <w:t xml:space="preserve">Controlando por Sales, cada unidad adicional vendida agrega aproximadamente $17 al Profit.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bm_5_5_visualización_avanzada_lec_42d06d"/>
      <w:r>
        <w:rPr>
          <w:rFonts w:eastAsia="Georgia" w:cs="Georgia" w:ascii="Georgia" w:hAnsi="Georgia"/>
          <w:b/>
          <w:sz w:val="33"/>
        </w:rPr>
        <w:t xml:space="preserve">5.5 Visualización avanzada (Lecciones 5 y 6)</w:t>
      </w:r>
      <w:bookmarkEnd w:id="15"/>
    </w:p>
    <w:p>
      <w:pPr>
        <w:spacing w:after="210" w:lineRule="auto"/>
      </w:pPr>
      <w:r>
        <w:rPr>
          <w:b/>
        </w:rPr>
        <w:t xml:space="preserve">Gráficos generados:</w:t>
      </w:r>
    </w:p>
    <w:p>
      <w:pPr>
        <w:numPr>
          <w:ilvl w:val="0"/>
          <w:numId w:val="15"/>
        </w:numPr>
        <w:spacing w:lineRule="auto"/>
      </w:pPr>
      <w:r>
        <w:rPr>
          <w:rFonts w:eastAsia="Georgia" w:cs="Georgia" w:ascii="Georgia" w:hAnsi="Georgia"/>
        </w:rPr>
        <w:t xml:space="preserve">Pairplot: Confirma relaciones lineales entre variables numéricas.</w:t>
      </w:r>
    </w:p>
    <w:p>
      <w:pPr>
        <w:numPr>
          <w:ilvl w:val="0"/>
          <w:numId w:val="15"/>
        </w:numPr>
        <w:spacing w:lineRule="auto"/>
      </w:pPr>
      <w:r>
        <w:rPr>
          <w:rFonts w:eastAsia="Georgia" w:cs="Georgia" w:ascii="Georgia" w:hAnsi="Georgia"/>
        </w:rPr>
        <w:t xml:space="preserve">Violinplot (Profit por Region): La región East muestra mayor concentración de ganancias altas.</w:t>
      </w:r>
    </w:p>
    <w:p>
      <w:pPr>
        <w:numPr>
          <w:ilvl w:val="0"/>
          <w:numId w:val="15"/>
        </w:numPr>
        <w:spacing w:lineRule="auto"/>
      </w:pPr>
      <w:r>
        <w:rPr>
          <w:rFonts w:eastAsia="Georgia" w:cs="Georgia" w:ascii="Georgia" w:hAnsi="Georgia"/>
        </w:rPr>
        <w:t xml:space="preserve">Jointplot (Sales vs Profit): Densidad máxima en rango medio de ventas ($2,000-$4,000).</w:t>
      </w:r>
    </w:p>
    <w:p>
      <w:pPr>
        <w:numPr>
          <w:ilvl w:val="0"/>
          <w:numId w:val="15"/>
        </w:numPr>
        <w:spacing w:lineRule="auto"/>
      </w:pPr>
      <w:r>
        <w:rPr>
          <w:rFonts w:eastAsia="Georgia" w:cs="Georgia" w:ascii="Georgia" w:hAnsi="Georgia"/>
        </w:rPr>
        <w:t xml:space="preserve">FacetGrid: Distribución de Sales varía significativamente entre regiones y categorías.</w:t>
      </w:r>
    </w:p>
    <w:p>
      <w:pPr>
        <w:numPr>
          <w:ilvl w:val="0"/>
          <w:numId w:val="15"/>
        </w:numPr>
        <w:spacing w:lineRule="auto"/>
      </w:pPr>
      <w:r>
        <w:rPr>
          <w:rFonts w:eastAsia="Georgia" w:cs="Georgia" w:ascii="Georgia" w:hAnsi="Georgia"/>
        </w:rPr>
        <w:t xml:space="preserve">Subplots de resumen: Sales por año muestra crecimiento sostenido de 2022 a 2024.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bm_6_hallazgos_clave"/>
      <w:r>
        <w:rPr>
          <w:b/>
          <w:sz w:val="42"/>
        </w:rPr>
        <w:t xml:space="preserve">6. HALLAZGOS CLAVE</w:t>
      </w:r>
      <w:bookmarkEnd w:id="16"/>
    </w:p>
    <w:p>
      <w:pPr>
        <w:spacing w:line="271" w:before="240" w:lineRule="auto"/>
      </w:pPr>
      <w:bookmarkStart w:id="17" w:name="bm_6_1_comportamiento_por_categoría"/>
      <w:r>
        <w:rPr>
          <w:rFonts w:eastAsia="Georgia" w:cs="Georgia" w:ascii="Georgia" w:hAnsi="Georgia"/>
          <w:b/>
          <w:sz w:val="33"/>
        </w:rPr>
        <w:t xml:space="preserve">6.1 Comportamiento por categoría</w:t>
      </w:r>
      <w:bookmarkEnd w:id="17"/>
    </w:p>
    <w:p>
      <w:pPr>
        <w:numPr>
          <w:ilvl w:val="0"/>
          <w:numId w:val="16"/>
        </w:numPr>
        <w:spacing w:lineRule="auto"/>
      </w:pPr>
      <w:r>
        <w:rPr/>
        <w:t xml:space="preserve">Electronics genera el mayor volumen de ventas y ganancias absolutas.</w:t>
      </w:r>
    </w:p>
    <w:p>
      <w:pPr>
        <w:numPr>
          <w:ilvl w:val="0"/>
          <w:numId w:val="16"/>
        </w:numPr>
        <w:spacing w:lineRule="auto"/>
      </w:pPr>
      <w:r>
        <w:rPr>
          <w:rFonts w:eastAsia="Georgia" w:cs="Georgia" w:ascii="Georgia" w:hAnsi="Georgia"/>
        </w:rPr>
        <w:t xml:space="preserve">Accessories tiene alta frecuencia de transacciones pero márgenes más bajos.</w:t>
      </w:r>
    </w:p>
    <w:p>
      <w:pPr>
        <w:numPr>
          <w:ilvl w:val="0"/>
          <w:numId w:val="16"/>
        </w:numPr>
        <w:spacing w:lineRule="auto"/>
      </w:pPr>
      <w:r>
        <w:rPr>
          <w:rFonts w:eastAsia="Georgia" w:cs="Georgia" w:ascii="Georgia" w:hAnsi="Georgia"/>
        </w:rPr>
        <w:t xml:space="preserve">Office presenta el comportamiento más estable y predecible.</w:t>
      </w:r>
    </w:p>
    <w:p>
      <w:pPr>
        <w:spacing w:line="271" w:before="240" w:lineRule="auto"/>
      </w:pPr>
      <w:bookmarkStart w:id="18" w:name="bm_6_2_comportamiento_por_región"/>
      <w:r>
        <w:rPr>
          <w:rFonts w:eastAsia="Georgia" w:cs="Georgia" w:ascii="Georgia" w:hAnsi="Georgia"/>
          <w:b/>
          <w:sz w:val="33"/>
        </w:rPr>
        <w:t xml:space="preserve">6.2 Comportamiento por región</w:t>
      </w:r>
      <w:bookmarkEnd w:id="18"/>
    </w:p>
    <w:p>
      <w:pPr>
        <w:numPr>
          <w:ilvl w:val="0"/>
          <w:numId w:val="17"/>
        </w:numPr>
        <w:spacing w:lineRule="auto"/>
      </w:pPr>
      <w:r>
        <w:rPr/>
        <w:t xml:space="preserve">East y West concentran la mayor parte de las ganancias.</w:t>
      </w:r>
    </w:p>
    <w:p>
      <w:pPr>
        <w:numPr>
          <w:ilvl w:val="0"/>
          <w:numId w:val="17"/>
        </w:numPr>
        <w:spacing w:lineRule="auto"/>
      </w:pPr>
      <w:r>
        <w:rPr>
          <w:rFonts w:eastAsia="Georgia" w:cs="Georgia" w:ascii="Georgia" w:hAnsi="Georgia"/>
        </w:rPr>
        <w:t xml:space="preserve">North muestra potencial de crecimiento con ventas moderadas pero márgenes competitivos.</w:t>
      </w:r>
    </w:p>
    <w:p>
      <w:pPr>
        <w:numPr>
          <w:ilvl w:val="0"/>
          <w:numId w:val="17"/>
        </w:numPr>
        <w:spacing w:lineRule="auto"/>
      </w:pPr>
      <w:r>
        <w:rPr>
          <w:rFonts w:eastAsia="Georgia" w:cs="Georgia" w:ascii="Georgia" w:hAnsi="Georgia"/>
        </w:rPr>
        <w:t xml:space="preserve">South tiene volumen intermedio con oportunidades de optimización de precios.</w:t>
      </w:r>
    </w:p>
    <w:p>
      <w:pPr>
        <w:spacing w:line="271" w:before="240" w:lineRule="auto"/>
      </w:pPr>
      <w:bookmarkStart w:id="19" w:name="bm_6_3_relación_ventas_ganancia"/>
      <w:r>
        <w:rPr>
          <w:rFonts w:eastAsia="Georgia" w:cs="Georgia" w:ascii="Georgia" w:hAnsi="Georgia"/>
          <w:b/>
          <w:sz w:val="33"/>
        </w:rPr>
        <w:t xml:space="preserve">6.3 Relación ventas-ganancia</w:t>
      </w:r>
      <w:bookmarkEnd w:id="19"/>
    </w:p>
    <w:p>
      <w:pPr>
        <w:numPr>
          <w:ilvl w:val="0"/>
          <w:numId w:val="18"/>
        </w:numPr>
        <w:spacing w:lineRule="auto"/>
      </w:pPr>
      <w:r>
        <w:rPr>
          <w:rFonts w:eastAsia="Georgia" w:cs="Georgia" w:ascii="Georgia" w:hAnsi="Georgia"/>
        </w:rPr>
        <w:t xml:space="preserve">Correlación fuerte (r = 0.88) pero no perfecta: existen productos de alto volumen con márgenes bajos.</w:t>
      </w:r>
    </w:p>
    <w:p>
      <w:pPr>
        <w:numPr>
          <w:ilvl w:val="0"/>
          <w:numId w:val="18"/>
        </w:numPr>
        <w:spacing w:lineRule="auto"/>
      </w:pPr>
      <w:r>
        <w:rPr/>
        <w:t xml:space="preserve">La presencia de outliers sugiere productos premium con rentabilidad excepcional.</w:t>
      </w:r>
    </w:p>
    <w:p>
      <w:pPr>
        <w:numPr>
          <w:ilvl w:val="0"/>
          <w:numId w:val="18"/>
        </w:numPr>
        <w:spacing w:lineRule="auto"/>
      </w:pPr>
      <w:r>
        <w:rPr>
          <w:rFonts w:eastAsia="Georgia" w:cs="Georgia" w:ascii="Georgia" w:hAnsi="Georgia"/>
        </w:rPr>
        <w:t xml:space="preserve">El modelo de regresión explica 77-78% de la variabilidad, dejando espacio para factores no capturados.</w:t>
      </w:r>
    </w:p>
    <w:p>
      <w:pPr>
        <w:spacing w:line="271" w:before="240" w:lineRule="auto"/>
      </w:pPr>
      <w:bookmarkStart w:id="20" w:name="bm_6_4_evolución_temporal"/>
      <w:r>
        <w:rPr>
          <w:rFonts w:eastAsia="Georgia" w:cs="Georgia" w:ascii="Georgia" w:hAnsi="Georgia"/>
          <w:b/>
          <w:sz w:val="33"/>
        </w:rPr>
        <w:t xml:space="preserve">6.4 Evolución temporal</w:t>
      </w:r>
      <w:bookmarkEnd w:id="20"/>
    </w:p>
    <w:p>
      <w:pPr>
        <w:numPr>
          <w:ilvl w:val="0"/>
          <w:numId w:val="19"/>
        </w:numPr>
        <w:spacing w:lineRule="auto"/>
      </w:pPr>
      <w:r>
        <w:rPr/>
        <w:t xml:space="preserve">Tendencia positiva de ventas de 2022 a 2024.</w:t>
      </w:r>
    </w:p>
    <w:p>
      <w:pPr>
        <w:numPr>
          <w:ilvl w:val="0"/>
          <w:numId w:val="19"/>
        </w:numPr>
        <w:spacing w:lineRule="auto"/>
      </w:pPr>
      <w:r>
        <w:rPr/>
        <w:t xml:space="preserve">No se observan patrones estacionales claros en el periodo analizado.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bm_7_recomendaciones_estratégicas"/>
      <w:r>
        <w:rPr>
          <w:rFonts w:eastAsia="Georgia" w:cs="Georgia" w:ascii="Georgia" w:hAnsi="Georgia"/>
          <w:b/>
          <w:sz w:val="42"/>
        </w:rPr>
        <w:t xml:space="preserve">7. RECOMENDACIONES ESTRATÉGICAS</w:t>
      </w:r>
      <w:bookmarkEnd w:id="21"/>
    </w:p>
    <w:p>
      <w:pPr>
        <w:spacing w:line="271" w:before="240" w:lineRule="auto"/>
      </w:pPr>
      <w:bookmarkStart w:id="22" w:name="bm_7_1_optimización_de_portafolio"/>
      <w:r>
        <w:rPr>
          <w:rFonts w:eastAsia="Georgia" w:cs="Georgia" w:ascii="Georgia" w:hAnsi="Georgia"/>
          <w:b/>
          <w:sz w:val="33"/>
        </w:rPr>
        <w:t xml:space="preserve">7.1 Optimización de portafolio</w:t>
      </w:r>
      <w:bookmarkEnd w:id="22"/>
    </w:p>
    <w:p>
      <w:pPr>
        <w:numPr>
          <w:ilvl w:val="0"/>
          <w:numId w:val="20"/>
        </w:numPr>
        <w:spacing w:lineRule="auto"/>
      </w:pPr>
      <w:r>
        <w:rPr>
          <w:rFonts w:eastAsia="Georgia" w:cs="Georgia" w:ascii="Georgia" w:hAnsi="Georgia"/>
        </w:rPr>
        <w:t xml:space="preserve">Priorizar productos de Electronics con alta demanda y buenos márgenes.</w:t>
      </w:r>
    </w:p>
    <w:p>
      <w:pPr>
        <w:numPr>
          <w:ilvl w:val="0"/>
          <w:numId w:val="20"/>
        </w:numPr>
        <w:spacing w:lineRule="auto"/>
      </w:pPr>
      <w:r>
        <w:rPr/>
        <w:t xml:space="preserve">Revisar productos de Accessories con muchas ventas pero baja ganancia: ajustar precios o reducir costos.</w:t>
      </w:r>
    </w:p>
    <w:p>
      <w:pPr>
        <w:numPr>
          <w:ilvl w:val="0"/>
          <w:numId w:val="20"/>
        </w:numPr>
        <w:spacing w:lineRule="auto"/>
      </w:pPr>
      <w:r>
        <w:rPr>
          <w:rFonts w:eastAsia="Georgia" w:cs="Georgia" w:ascii="Georgia" w:hAnsi="Georgia"/>
        </w:rPr>
        <w:t xml:space="preserve">Expandir línea Office aprovechando su estabilidad y potencial de crecimiento.</w:t>
      </w:r>
    </w:p>
    <w:p>
      <w:pPr>
        <w:spacing w:line="271" w:before="240" w:lineRule="auto"/>
      </w:pPr>
      <w:bookmarkStart w:id="23" w:name="bm_7_2_estrategia_regional"/>
      <w:r>
        <w:rPr>
          <w:b/>
          <w:sz w:val="33"/>
        </w:rPr>
        <w:t xml:space="preserve">7.2 Estrategia regional</w:t>
      </w:r>
      <w:bookmarkEnd w:id="23"/>
    </w:p>
    <w:p>
      <w:pPr>
        <w:numPr>
          <w:ilvl w:val="0"/>
          <w:numId w:val="21"/>
        </w:numPr>
        <w:spacing w:lineRule="auto"/>
      </w:pPr>
      <w:r>
        <w:rPr>
          <w:rFonts w:eastAsia="Georgia" w:cs="Georgia" w:ascii="Georgia" w:hAnsi="Georgia"/>
        </w:rPr>
        <w:t xml:space="preserve">Fortalecer presencia en East y West con campañas focalizadas en productos premium.</w:t>
      </w:r>
    </w:p>
    <w:p>
      <w:pPr>
        <w:numPr>
          <w:ilvl w:val="0"/>
          <w:numId w:val="21"/>
        </w:numPr>
        <w:spacing w:lineRule="auto"/>
      </w:pPr>
      <w:r>
        <w:rPr>
          <w:rFonts w:eastAsia="Georgia" w:cs="Georgia" w:ascii="Georgia" w:hAnsi="Georgia"/>
        </w:rPr>
        <w:t xml:space="preserve">Incrementar inversión en North con promociones de volumen para captar mercado.</w:t>
      </w:r>
    </w:p>
    <w:p>
      <w:pPr>
        <w:numPr>
          <w:ilvl w:val="0"/>
          <w:numId w:val="21"/>
        </w:numPr>
        <w:spacing w:lineRule="auto"/>
      </w:pPr>
      <w:r>
        <w:rPr>
          <w:rFonts w:eastAsia="Georgia" w:cs="Georgia" w:ascii="Georgia" w:hAnsi="Georgia"/>
        </w:rPr>
        <w:t xml:space="preserve">Analizar costos operativos en South para mejorar márgenes sin sacrificar volumen.</w:t>
      </w:r>
    </w:p>
    <w:p>
      <w:pPr>
        <w:spacing w:line="271" w:before="240" w:lineRule="auto"/>
      </w:pPr>
      <w:bookmarkStart w:id="24" w:name="bm_7_3_gestión_de_márgenes"/>
      <w:r>
        <w:rPr>
          <w:rFonts w:eastAsia="Georgia" w:cs="Georgia" w:ascii="Georgia" w:hAnsi="Georgia"/>
          <w:b/>
          <w:sz w:val="33"/>
        </w:rPr>
        <w:t xml:space="preserve">7.3 Gestión de márgenes</w:t>
      </w:r>
      <w:bookmarkEnd w:id="24"/>
    </w:p>
    <w:p>
      <w:pPr>
        <w:numPr>
          <w:ilvl w:val="0"/>
          <w:numId w:val="22"/>
        </w:numPr>
        <w:spacing w:lineRule="auto"/>
      </w:pPr>
      <w:r>
        <w:rPr/>
        <w:t xml:space="preserve">Identificar productos con Sales alto y Profit bajo: revisar estructura de costos.</w:t>
      </w:r>
    </w:p>
    <w:p>
      <w:pPr>
        <w:numPr>
          <w:ilvl w:val="0"/>
          <w:numId w:val="22"/>
        </w:numPr>
        <w:spacing w:lineRule="auto"/>
      </w:pPr>
      <w:r>
        <w:rPr/>
        <w:t xml:space="preserve">Potenciar productos outliers (alta ganancia relativa): aumentar visibilidad y disponibilidad.</w:t>
      </w:r>
    </w:p>
    <w:p>
      <w:pPr>
        <w:numPr>
          <w:ilvl w:val="0"/>
          <w:numId w:val="22"/>
        </w:numPr>
        <w:spacing w:lineRule="auto"/>
      </w:pPr>
      <w:r>
        <w:rPr>
          <w:rFonts w:eastAsia="Georgia" w:cs="Georgia" w:ascii="Georgia" w:hAnsi="Georgia"/>
        </w:rPr>
        <w:t xml:space="preserve">Implementar análisis ABC para priorizar esfuerzos comerciales y logísticos.</w:t>
      </w:r>
    </w:p>
    <w:p>
      <w:pPr>
        <w:spacing w:line="271" w:before="240" w:lineRule="auto"/>
      </w:pPr>
      <w:bookmarkStart w:id="25" w:name="bm_7_4_analítica_avanzada"/>
      <w:r>
        <w:rPr>
          <w:rFonts w:eastAsia="Georgia" w:cs="Georgia" w:ascii="Georgia" w:hAnsi="Georgia"/>
          <w:b/>
          <w:sz w:val="33"/>
        </w:rPr>
        <w:t xml:space="preserve">7.4 Analítica avanzada</w:t>
      </w:r>
      <w:bookmarkEnd w:id="25"/>
    </w:p>
    <w:p>
      <w:pPr>
        <w:numPr>
          <w:ilvl w:val="0"/>
          <w:numId w:val="23"/>
        </w:numPr>
        <w:spacing w:lineRule="auto"/>
      </w:pPr>
      <w:r>
        <w:rPr/>
        <w:t xml:space="preserve">Incorporar datos de clientes individuales (frecuencia, recencia, valor de vida).</w:t>
      </w:r>
    </w:p>
    <w:p>
      <w:pPr>
        <w:numPr>
          <w:ilvl w:val="0"/>
          <w:numId w:val="23"/>
        </w:numPr>
        <w:spacing w:lineRule="auto"/>
      </w:pPr>
      <w:r>
        <w:rPr>
          <w:rFonts w:eastAsia="Georgia" w:cs="Georgia" w:ascii="Georgia" w:hAnsi="Georgia"/>
        </w:rPr>
        <w:t xml:space="preserve">Añadir variables de devoluciones y reseñas para análisis de satisfacción.</w:t>
      </w:r>
    </w:p>
    <w:p>
      <w:pPr>
        <w:numPr>
          <w:ilvl w:val="0"/>
          <w:numId w:val="23"/>
        </w:numPr>
        <w:spacing w:lineRule="auto"/>
      </w:pPr>
      <w:r>
        <w:rPr>
          <w:rFonts w:eastAsia="Georgia" w:cs="Georgia" w:ascii="Georgia" w:hAnsi="Georgia"/>
        </w:rPr>
        <w:t xml:space="preserve">Construir modelos predictivos de demanda y segmentación de clientes.</w:t>
      </w:r>
    </w:p>
    <w:p>
      <w:pPr>
        <w:numPr>
          <w:ilvl w:val="0"/>
          <w:numId w:val="23"/>
        </w:numPr>
        <w:spacing w:lineRule="auto"/>
      </w:pPr>
      <w:r>
        <w:rPr/>
        <w:t xml:space="preserve">Implementar dashboards en tiempo real para seguimiento de KPIs.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bm_8_limitaciones_del_estudio"/>
      <w:r>
        <w:rPr>
          <w:b/>
          <w:sz w:val="42"/>
        </w:rPr>
        <w:t xml:space="preserve">8. LIMITACIONES DEL ESTUDIO</w:t>
      </w:r>
      <w:bookmarkEnd w:id="26"/>
    </w:p>
    <w:p>
      <w:pPr>
        <w:numPr>
          <w:ilvl w:val="0"/>
          <w:numId w:val="24"/>
        </w:numPr>
        <w:spacing w:lineRule="auto"/>
      </w:pPr>
      <w:r>
        <w:rPr>
          <w:rFonts w:eastAsia="Georgia" w:cs="Georgia" w:ascii="Georgia" w:hAnsi="Georgia"/>
        </w:rPr>
        <w:t xml:space="preserve">Datos agregados a nivel transacción: No se dispone de información de clientes individuales.</w:t>
      </w:r>
    </w:p>
    <w:p>
      <w:pPr>
        <w:numPr>
          <w:ilvl w:val="0"/>
          <w:numId w:val="24"/>
        </w:numPr>
        <w:spacing w:lineRule="auto"/>
      </w:pPr>
      <w:r>
        <w:rPr>
          <w:rFonts w:eastAsia="Georgia" w:cs="Georgia" w:ascii="Georgia" w:hAnsi="Georgia"/>
        </w:rPr>
        <w:t xml:space="preserve">Ausencia de costos desagregados: No es posible analizar estructura de costos por producto y región.</w:t>
      </w:r>
    </w:p>
    <w:p>
      <w:pPr>
        <w:numPr>
          <w:ilvl w:val="0"/>
          <w:numId w:val="24"/>
        </w:numPr>
        <w:spacing w:lineRule="auto"/>
      </w:pPr>
      <w:r>
        <w:rPr>
          <w:rFonts w:eastAsia="Georgia" w:cs="Georgia" w:ascii="Georgia" w:hAnsi="Georgia"/>
        </w:rPr>
        <w:t xml:space="preserve">Periodo limitado: 3 años pueden no capturar ciclos económicos completos.</w:t>
      </w:r>
    </w:p>
    <w:p>
      <w:pPr>
        <w:numPr>
          <w:ilvl w:val="0"/>
          <w:numId w:val="24"/>
        </w:numPr>
        <w:spacing w:lineRule="auto"/>
      </w:pPr>
      <w:r>
        <w:rPr>
          <w:rFonts w:eastAsia="Georgia" w:cs="Georgia" w:ascii="Georgia" w:hAnsi="Georgia"/>
        </w:rPr>
        <w:t xml:space="preserve">Variables externas no consideradas: Competencia, estacionalidad, campañas de marketing.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bm_9_conclusiones"/>
      <w:r>
        <w:rPr>
          <w:b/>
          <w:sz w:val="42"/>
        </w:rPr>
        <w:t xml:space="preserve">9. CONCLUSIONES</w:t>
      </w:r>
      <w:bookmarkEnd w:id="27"/>
    </w:p>
    <w:p>
      <w:pPr>
        <w:spacing w:after="210" w:lineRule="auto"/>
      </w:pPr>
      <w:r>
        <w:rPr>
          <w:rFonts w:eastAsia="Georgia" w:cs="Georgia" w:ascii="Georgia" w:hAnsi="Georgia"/>
        </w:rPr>
        <w:t xml:space="preserve">Este análisis exploratorio ha permitido identificar patrones claros en el comportamiento de ventas y rentabilidad de ComercioYA. Las categorías Electronics y Accessories son los pilares del negocio, mientras que las regiones East y West presentan mayor rentabilidad.</w:t>
      </w:r>
    </w:p>
    <w:p>
      <w:pPr>
        <w:spacing w:after="210" w:lineRule="auto"/>
      </w:pPr>
      <w:r>
        <w:rPr>
          <w:rFonts w:eastAsia="Georgia" w:cs="Georgia" w:ascii="Georgia" w:hAnsi="Georgia"/>
        </w:rPr>
        <w:t xml:space="preserve">La relación positiva entre ventas y ganancia confirma que el crecimiento en volumen tiende a mejorar los resultados financieros, aunque existen oportunidades de optimización en productos específicos con márgenes bajos.</w:t>
      </w:r>
    </w:p>
    <w:p>
      <w:pPr>
        <w:spacing w:after="210" w:lineRule="auto"/>
      </w:pPr>
      <w:r>
        <w:rPr>
          <w:rFonts w:eastAsia="Georgia" w:cs="Georgia" w:ascii="Georgia" w:hAnsi="Georgia"/>
        </w:rPr>
        <w:t xml:space="preserve">Las recomendaciones entregadas proporcionan una hoja de ruta clara para mejorar la toma de decisiones, priorizar inversiones comerciales y preparar el terreno para análisis más avanzados de segmentación y predicción.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bm_10_próximos_pasos"/>
      <w:r>
        <w:rPr>
          <w:rFonts w:eastAsia="Georgia" w:cs="Georgia" w:ascii="Georgia" w:hAnsi="Georgia"/>
          <w:b/>
          <w:sz w:val="42"/>
        </w:rPr>
        <w:t xml:space="preserve">10. PRÓXIMOS PASOS</w:t>
      </w:r>
      <w:bookmarkEnd w:id="28"/>
    </w:p>
    <w:p>
      <w:pPr>
        <w:numPr>
          <w:ilvl w:val="0"/>
          <w:numId w:val="25"/>
        </w:numPr>
        <w:spacing w:lineRule="auto"/>
      </w:pPr>
      <w:r>
        <w:rPr>
          <w:rFonts w:eastAsia="Georgia" w:cs="Georgia" w:ascii="Georgia" w:hAnsi="Georgia"/>
        </w:rPr>
        <w:t xml:space="preserve">Validación de hallazgos con equipo directivo y comercial.</w:t>
      </w:r>
    </w:p>
    <w:p>
      <w:pPr>
        <w:numPr>
          <w:ilvl w:val="0"/>
          <w:numId w:val="25"/>
        </w:numPr>
        <w:spacing w:lineRule="auto"/>
      </w:pPr>
      <w:r>
        <w:rPr>
          <w:rFonts w:eastAsia="Georgia" w:cs="Georgia" w:ascii="Georgia" w:hAnsi="Georgia"/>
        </w:rPr>
        <w:t xml:space="preserve">Implementación de dashboards con indicadores clave (ventas, margen, evolución).</w:t>
      </w:r>
    </w:p>
    <w:p>
      <w:pPr>
        <w:numPr>
          <w:ilvl w:val="0"/>
          <w:numId w:val="25"/>
        </w:numPr>
        <w:spacing w:lineRule="auto"/>
      </w:pPr>
      <w:r>
        <w:rPr>
          <w:rFonts w:eastAsia="Georgia" w:cs="Georgia" w:ascii="Georgia" w:hAnsi="Georgia"/>
        </w:rPr>
        <w:t xml:space="preserve">Ampliación del dataset con variables de clientes, devoluciones y reseñas.</w:t>
      </w:r>
    </w:p>
    <w:p>
      <w:pPr>
        <w:numPr>
          <w:ilvl w:val="0"/>
          <w:numId w:val="25"/>
        </w:numPr>
        <w:spacing w:lineRule="auto"/>
      </w:pPr>
      <w:r>
        <w:rPr>
          <w:rFonts w:eastAsia="Georgia" w:cs="Georgia" w:ascii="Georgia" w:hAnsi="Georgia"/>
        </w:rPr>
        <w:t xml:space="preserve">Desarrollo de modelos predictivos para pronóstico de demanda.</w:t>
      </w:r>
    </w:p>
    <w:p>
      <w:pPr>
        <w:numPr>
          <w:ilvl w:val="0"/>
          <w:numId w:val="25"/>
        </w:numPr>
        <w:spacing w:lineRule="auto"/>
      </w:pPr>
      <w:r>
        <w:rPr/>
        <w:t xml:space="preserve">Pruebas A/B en estrategias de precios y promociones en productos identificados.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anexos"/>
      <w:r>
        <w:rPr>
          <w:b/>
          <w:sz w:val="42"/>
        </w:rPr>
        <w:t xml:space="preserve">ANEXOS</w:t>
      </w:r>
      <w:bookmarkEnd w:id="29"/>
    </w:p>
    <w:p>
      <w:pPr>
        <w:spacing w:line="271" w:before="240" w:lineRule="auto"/>
      </w:pPr>
      <w:bookmarkStart w:id="30" w:name="a_gráficos_de_referencia"/>
      <w:r>
        <w:rPr>
          <w:rFonts w:eastAsia="Georgia" w:cs="Georgia" w:ascii="Georgia" w:hAnsi="Georgia"/>
          <w:b/>
          <w:sz w:val="33"/>
        </w:rPr>
        <w:t xml:space="preserve">A. Gráficos de referencia</w:t>
      </w:r>
      <w:bookmarkEnd w:id="30"/>
    </w:p>
    <w:p>
      <w:pPr>
        <w:numPr>
          <w:ilvl w:val="0"/>
          <w:numId w:val="26"/>
        </w:numPr>
        <w:spacing w:lineRule="auto"/>
      </w:pPr>
      <w:r>
        <w:rPr/>
        <w:t xml:space="preserve">Histogramas de Sales, Profit y Quantity</w:t>
      </w:r>
    </w:p>
    <w:p>
      <w:pPr>
        <w:numPr>
          <w:ilvl w:val="0"/>
          <w:numId w:val="26"/>
        </w:numPr>
        <w:spacing w:lineRule="auto"/>
      </w:pPr>
      <w:r>
        <w:rPr/>
        <w:t xml:space="preserve">Boxplots por Category y Region</w:t>
      </w:r>
    </w:p>
    <w:p>
      <w:pPr>
        <w:numPr>
          <w:ilvl w:val="0"/>
          <w:numId w:val="26"/>
        </w:numPr>
        <w:spacing w:lineRule="auto"/>
      </w:pPr>
      <w:r>
        <w:rPr>
          <w:rFonts w:eastAsia="Georgia" w:cs="Georgia" w:ascii="Georgia" w:hAnsi="Georgia"/>
        </w:rPr>
        <w:t xml:space="preserve">Matriz de correlación (heatmap)</w:t>
      </w:r>
    </w:p>
    <w:p>
      <w:pPr>
        <w:numPr>
          <w:ilvl w:val="0"/>
          <w:numId w:val="26"/>
        </w:numPr>
        <w:spacing w:lineRule="auto"/>
      </w:pPr>
      <w:r>
        <w:rPr/>
        <w:t xml:space="preserve">Scatterplots Sales vs Profit</w:t>
      </w:r>
    </w:p>
    <w:p>
      <w:pPr>
        <w:numPr>
          <w:ilvl w:val="0"/>
          <w:numId w:val="26"/>
        </w:numPr>
        <w:spacing w:lineRule="auto"/>
      </w:pPr>
      <w:r>
        <w:rPr>
          <w:rFonts w:eastAsia="Georgia" w:cs="Georgia" w:ascii="Georgia" w:hAnsi="Georgia"/>
        </w:rPr>
        <w:t xml:space="preserve">Regresión lineal simple</w:t>
      </w:r>
    </w:p>
    <w:p>
      <w:pPr>
        <w:numPr>
          <w:ilvl w:val="0"/>
          <w:numId w:val="26"/>
        </w:numPr>
        <w:spacing w:lineRule="auto"/>
      </w:pPr>
      <w:r>
        <w:rPr>
          <w:rFonts w:eastAsia="Georgia" w:cs="Georgia" w:ascii="Georgia" w:hAnsi="Georgia"/>
        </w:rPr>
        <w:t xml:space="preserve">Pairplot de variables numéricas</w:t>
      </w:r>
    </w:p>
    <w:p>
      <w:pPr>
        <w:numPr>
          <w:ilvl w:val="0"/>
          <w:numId w:val="26"/>
        </w:numPr>
        <w:spacing w:lineRule="auto"/>
      </w:pPr>
      <w:r>
        <w:rPr/>
        <w:t xml:space="preserve">Jointplot Sales vs Profit</w:t>
      </w:r>
    </w:p>
    <w:p>
      <w:pPr>
        <w:numPr>
          <w:ilvl w:val="0"/>
          <w:numId w:val="26"/>
        </w:numPr>
        <w:spacing w:lineRule="auto"/>
      </w:pPr>
      <w:r>
        <w:rPr/>
        <w:t xml:space="preserve">FacetGrid por Region y Category</w:t>
      </w:r>
    </w:p>
    <w:p>
      <w:pPr>
        <w:numPr>
          <w:ilvl w:val="0"/>
          <w:numId w:val="26"/>
        </w:numPr>
        <w:spacing w:lineRule="auto"/>
      </w:pPr>
      <w:r>
        <w:rPr/>
        <w:t xml:space="preserve">Resumen visual (3 subplots)</w:t>
      </w:r>
    </w:p>
    <w:p>
      <w:pPr>
        <w:spacing w:line="271" w:before="240" w:lineRule="auto"/>
      </w:pPr>
      <w:bookmarkStart w:id="31" w:name="b_código_fuente"/>
      <w:r>
        <w:rPr>
          <w:rFonts w:eastAsia="Georgia" w:cs="Georgia" w:ascii="Georgia" w:hAnsi="Georgia"/>
          <w:b/>
          <w:sz w:val="33"/>
        </w:rPr>
        <w:t xml:space="preserve">B. Código fuente</w:t>
      </w:r>
      <w:bookmarkEnd w:id="31"/>
    </w:p>
    <w:p>
      <w:pPr>
        <w:spacing w:after="210" w:lineRule="auto"/>
      </w:pPr>
      <w:r>
        <w:rPr/>
        <w:t xml:space="preserve">Disponible en repositorio GitHub del proyecto.</w:t>
      </w:r>
    </w:p>
    <w:p>
      <w:pPr>
        <w:spacing w:line="271" w:before="240" w:lineRule="auto"/>
      </w:pPr>
      <w:bookmarkStart w:id="32" w:name="c_dataset_utilizado"/>
      <w:r>
        <w:rPr>
          <w:b/>
          <w:sz w:val="33"/>
        </w:rPr>
        <w:t xml:space="preserve">C. Dataset utilizado</w:t>
      </w:r>
      <w:bookmarkEnd w:id="32"/>
    </w:p>
    <w:p>
      <w:pPr>
        <w:spacing w:after="210" w:lineRule="auto"/>
      </w:pPr>
      <w:r>
        <w:rPr>
          <w:rFonts w:eastAsia="Georgia" w:cs="Georgia" w:ascii="Georgia" w:hAnsi="Georgia"/>
        </w:rPr>
        <w:t xml:space="preserve">ecommerce_sales_data-2.csv (1,000 registros, periodo 2022-2024)</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FIN DEL INFORME TÉCNICO</w:t>
      </w:r>
    </w:p>
    <w:p>
      <w:pPr>
        <w:spacing w:after="210" w:lineRule="auto"/>
      </w:pPr>
      <w:r>
        <w:rPr/>
        <w:t xml:space="preserve">Documento generado: Enero 2026</w:t>
      </w:r>
    </w:p>
    <w:p>
      <w:pPr>
        <w:spacing w:after="210" w:lineRule="auto"/>
      </w:pPr>
      <w:r>
        <w:rPr>
          <w:rFonts w:eastAsia="Georgia" w:cs="Georgia" w:ascii="Georgia" w:hAnsi="Georgia"/>
        </w:rPr>
        <w:t xml:space="preserve">Proyecto: Análisis Exploratorio de Datos - ComercioYA</w:t>
      </w:r>
    </w:p>
    <w:p>
      <w:pPr>
        <w:spacing w:after="210" w:lineRule="auto"/>
      </w:pPr>
      <w:r>
        <w:rPr>
          <w:rFonts w:eastAsia="Georgia" w:cs="Georgia" w:ascii="Georgia" w:hAnsi="Georgia"/>
        </w:rPr>
        <w:t xml:space="preserve">Módulo 4: Análisis Exploratorio de Datos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5">
    <w:multiLevelType w:val="hybridMultilevel"/>
    <w:lvl w:ilvl="0">
      <w:start w:val="1"/>
      <w:numFmt w:val="decimal"/>
      <w:lvlText w:val="%1."/>
      <w:lvlJc w:val="left"/>
      <w:pPr>
        <w:tabs>
          <w:tab w:val="num" w:pos="1080"/>
        </w:tabs>
        <w:ind w:left="720" w:hanging="360"/>
      </w:p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s-E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2026-01-29T18:57:18.759Z</dcterms:created>
  <dcterms:modified xsi:type="dcterms:W3CDTF">2026-01-29T18:57:18.759Z</dcterms:modified>
</cp:coreProperties>
</file>