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88" w:before="240" w:lineRule="auto"/>
      </w:pPr>
      <w:bookmarkStart w:id="0" w:name="documento_de_insights_y_recomenda_96f4c0"/>
      <w:r>
        <w:rPr>
          <w:rFonts w:eastAsia="Georgia" w:cs="Georgia" w:ascii="Georgia" w:hAnsi="Georgia"/>
          <w:b/>
          <w:sz w:val="56"/>
        </w:rPr>
        <w:t xml:space="preserve">Documento de Insights y Recomendaciones Estratégicas</w:t>
      </w:r>
      <w:bookmarkEnd w:id="0"/>
    </w:p>
    <w:p>
      <w:pPr>
        <w:spacing w:line="271" w:before="240" w:lineRule="auto"/>
      </w:pPr>
      <w:bookmarkStart w:id="1" w:name="comercioya_análisis_de_ventas_2022_2024"/>
      <w:r>
        <w:rPr>
          <w:rFonts w:eastAsia="Georgia" w:cs="Georgia" w:ascii="Georgia" w:hAnsi="Georgia"/>
          <w:b/>
          <w:sz w:val="42"/>
        </w:rPr>
        <w:t xml:space="preserve">ComercioYA - Análisis de Ventas 2022-2024</w:t>
      </w:r>
      <w:bookmarkEnd w:id="1"/>
    </w:p>
    <w:p>
      <w:pPr>
        <w:spacing w:after="210" w:lineRule="auto"/>
      </w:pPr>
      <w:r>
        <w:rPr>
          <w:b/>
        </w:rPr>
        <w:t xml:space="preserve">Dirección de Análisis Estratégico</w:t>
      </w:r>
      <w:r>
        <w:rPr/>
        <w:br w:type="textWrapping"/>
      </w:r>
      <w:r>
        <w:rPr/>
        <w:t xml:space="preserve">Enero 2026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2" w:name="resumen_ejecutivo"/>
      <w:r>
        <w:rPr>
          <w:b/>
          <w:sz w:val="42"/>
        </w:rPr>
        <w:t xml:space="preserve">Resumen Ejecutivo</w:t>
      </w:r>
      <w:bookmarkEnd w:id="2"/>
    </w:p>
    <w:p>
      <w:pPr>
        <w:spacing w:after="210" w:lineRule="auto"/>
      </w:pPr>
      <w:r>
        <w:rPr/>
        <w:t xml:space="preserve">Este documento presenta los </w:t>
      </w:r>
      <w:r>
        <w:rPr>
          <w:b/>
        </w:rPr>
        <w:t xml:space="preserve">insights clave</w:t>
      </w:r>
      <w:r>
        <w:rPr/>
        <w:t xml:space="preserve"> y </w:t>
      </w:r>
      <w:r>
        <w:rPr>
          <w:b/>
        </w:rPr>
        <w:t xml:space="preserve">recomendaciones accionables</w:t>
      </w:r>
      <w:r>
        <w:rPr>
          <w:rFonts w:eastAsia="Georgia" w:cs="Georgia" w:ascii="Georgia" w:hAnsi="Georgia"/>
        </w:rPr>
        <w:t xml:space="preserve"> derivados del análisis exploratorio de datos (EDA) realizado sobre las transacciones de ComercioYA en el periodo 2022-2024[1]. El análisis abarcó 1,000 registros de ventas distribuidos en tres categorías principales (Electronics, Accessories, Office) y cuatro regiones (North, South, East, West)[2].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Los hallazgos revelan oportunidades claras de optimización en la gestión de portafolio, estrategia regional y márgenes de ganancia, con potencial de incrementar la rentabilidad entre 15-25% mediante acciones focalizadas[1][2].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3" w:name="bm_1_insights_principales"/>
      <w:r>
        <w:rPr>
          <w:b/>
          <w:sz w:val="42"/>
        </w:rPr>
        <w:t xml:space="preserve">1. Insights Principales</w:t>
      </w:r>
      <w:bookmarkEnd w:id="3"/>
    </w:p>
    <w:p>
      <w:pPr>
        <w:spacing w:line="271" w:before="240" w:lineRule="auto"/>
      </w:pPr>
      <w:bookmarkStart w:id="4" w:name="bm_1_1_concentración_de_rentabilidad"/>
      <w:r>
        <w:rPr>
          <w:rFonts w:eastAsia="Georgia" w:cs="Georgia" w:ascii="Georgia" w:hAnsi="Georgia"/>
          <w:b/>
          <w:sz w:val="33"/>
        </w:rPr>
        <w:t xml:space="preserve">1.1 Concentración de Rentabilidad</w:t>
      </w:r>
      <w:bookmarkEnd w:id="4"/>
    </w:p>
    <w:p>
      <w:pPr>
        <w:spacing w:after="210" w:lineRule="auto"/>
      </w:pPr>
      <w:r>
        <w:rPr>
          <w:b/>
        </w:rPr>
        <w:t xml:space="preserve">Hallazgo:</w:t>
      </w:r>
      <w:r>
        <w:rPr/>
        <w:t xml:space="preserve"> El 20% de las transacciones genera aproximadamente el 60% de las ganancias totales[2].</w:t>
      </w:r>
    </w:p>
    <w:p>
      <w:pPr>
        <w:numPr>
          <w:ilvl w:val="0"/>
          <w:numId w:val="1"/>
        </w:numPr>
        <w:spacing w:lineRule="auto"/>
      </w:pPr>
      <w:r>
        <w:rPr>
          <w:rFonts w:eastAsia="Georgia" w:cs="Georgia" w:ascii="Georgia" w:hAnsi="Georgia"/>
        </w:rPr>
        <w:t xml:space="preserve">Las categorías Electronics y Accessories representan el 85% del volumen de ventas[2].</w:t>
      </w:r>
    </w:p>
    <w:p>
      <w:pPr>
        <w:numPr>
          <w:ilvl w:val="0"/>
          <w:numId w:val="1"/>
        </w:numPr>
        <w:spacing w:lineRule="auto"/>
      </w:pPr>
      <w:r>
        <w:rPr>
          <w:rFonts w:eastAsia="Georgia" w:cs="Georgia" w:ascii="Georgia" w:hAnsi="Georgia"/>
        </w:rPr>
        <w:t xml:space="preserve">Existe alta variabilidad en márgenes: productos similares muestran diferencias de rentabilidad de hasta 300%[2].</w:t>
      </w:r>
    </w:p>
    <w:p>
      <w:pPr>
        <w:numPr>
          <w:ilvl w:val="0"/>
          <w:numId w:val="1"/>
        </w:numPr>
        <w:spacing w:lineRule="auto"/>
      </w:pPr>
      <w:r>
        <w:rPr/>
        <w:t xml:space="preserve">Los outliers de ganancia (50 transacciones) concentran el 12% del profit total[2].</w:t>
      </w:r>
    </w:p>
    <w:p>
      <w:pPr>
        <w:spacing w:after="210" w:lineRule="auto"/>
      </w:pPr>
      <w:r>
        <w:rPr>
          <w:b/>
        </w:rPr>
        <w:t xml:space="preserve">Implicación:</w:t>
      </w:r>
      <w:r>
        <w:rPr>
          <w:rFonts w:eastAsia="Georgia" w:cs="Georgia" w:ascii="Georgia" w:hAnsi="Georgia"/>
        </w:rPr>
        <w:t xml:space="preserve"> ComercioYA puede mejorar significativamente su rentabilidad enfocándose en los productos y segmentos de mayor margen, aplicando principios de gestión 80/20[1].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5" w:name="bm_1_2_disparidad_regional_en_ren_7d3ab2"/>
      <w:r>
        <w:rPr>
          <w:b/>
          <w:sz w:val="33"/>
        </w:rPr>
        <w:t xml:space="preserve">1.2 Disparidad Regional en Rentabilidad</w:t>
      </w:r>
      <w:bookmarkEnd w:id="5"/>
    </w:p>
    <w:p>
      <w:pPr>
        <w:spacing w:after="210" w:lineRule="auto"/>
      </w:pPr>
      <w:r>
        <w:rPr>
          <w:b/>
        </w:rPr>
        <w:t xml:space="preserve">Hallazgo:</w:t>
      </w:r>
      <w:r>
        <w:rPr>
          <w:rFonts w:eastAsia="Georgia" w:cs="Georgia" w:ascii="Georgia" w:hAnsi="Georgia"/>
        </w:rPr>
        <w:t xml:space="preserve"> Las regiones East y West generan el 65% de las ganancias totales, mientras que North y South operan con márgenes 15-20% inferiores[2].</w:t>
      </w:r>
    </w:p>
    <w:tbl>
      <w:tblPr>
        <w:tblStyle w:val="TableGrid"/>
        <w:jc w:val="center"/>
        <w:tblCellSpacing w:w="0" w:type="dxa"/>
        <w:tblBorders/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73"/>
        <w:gridCol w:w="2173"/>
        <w:gridCol w:w="2173"/>
        <w:gridCol w:w="2173"/>
      </w:tblGrid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Región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>
                <w:rFonts w:eastAsia="Georgia" w:cs="Georgia" w:ascii="Georgia" w:hAnsi="Georgia"/>
              </w:rPr>
              <w:t xml:space="preserve">Participación en Ventas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>
                <w:rFonts w:eastAsia="Georgia" w:cs="Georgia" w:ascii="Georgia" w:hAnsi="Georgia"/>
              </w:rPr>
              <w:t xml:space="preserve">Participación en Profit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Margen Promedio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East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28%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32%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Alto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West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26%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33%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Alto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North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24%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20%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Medio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South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22%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15%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Bajo</w:t>
            </w:r>
          </w:p>
        </w:tc>
      </w:tr>
    </w:tbl>
    <w:p>
      <w:pPr>
        <w:spacing w:lineRule="auto"/>
      </w:pPr>
    </w:p>
    <w:p>
      <w:pPr>
        <w:spacing w:lineRule="auto"/>
      </w:pPr>
      <w:r>
        <w:rPr>
          <w:rFonts w:eastAsia="Georgia" w:cs="Georgia" w:ascii="Georgia" w:hAnsi="Georgia"/>
        </w:rPr>
        <w:t xml:space="preserve">Table 1: Distribución de ventas y rentabilidad por región</w:t>
      </w:r>
    </w:p>
    <w:p>
      <w:pPr>
        <w:spacing w:after="210" w:lineRule="auto"/>
      </w:pPr>
      <w:r>
        <w:rPr>
          <w:b/>
        </w:rPr>
        <w:t xml:space="preserve">Implicación:</w:t>
      </w:r>
      <w:r>
        <w:rPr>
          <w:rFonts w:eastAsia="Georgia" w:cs="Georgia" w:ascii="Georgia" w:hAnsi="Georgia"/>
        </w:rPr>
        <w:t xml:space="preserve"> Existen oportunidades de arbitraje operativo: replicar prácticas exitosas de East/West en North/South podría incrementar la ganancia total en 18-22%[2].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6" w:name="bm_1_3_desconexión_entre_volumen_24015c"/>
      <w:r>
        <w:rPr>
          <w:rFonts w:eastAsia="Georgia" w:cs="Georgia" w:ascii="Georgia" w:hAnsi="Georgia"/>
          <w:b/>
          <w:sz w:val="33"/>
        </w:rPr>
        <w:t xml:space="preserve">1.3 Desconexión entre Volumen y Rentabilidad</w:t>
      </w:r>
      <w:bookmarkEnd w:id="6"/>
    </w:p>
    <w:p>
      <w:pPr>
        <w:spacing w:after="210" w:lineRule="auto"/>
      </w:pPr>
      <w:r>
        <w:rPr>
          <w:b/>
        </w:rPr>
        <w:t xml:space="preserve">Hallazgo:</w:t>
      </w:r>
      <w:r>
        <w:rPr>
          <w:rFonts w:eastAsia="Georgia" w:cs="Georgia" w:ascii="Georgia" w:hAnsi="Georgia"/>
        </w:rPr>
        <w:t xml:space="preserve"> La correlación entre Sales y Profit es fuerte (r=0.88) pero no perfecta, indicando que mayores ventas no siempre significan mayor rentabilidad[2].</w:t>
      </w:r>
    </w:p>
    <w:p>
      <w:pPr>
        <w:numPr>
          <w:ilvl w:val="0"/>
          <w:numId w:val="2"/>
        </w:numPr>
        <w:spacing w:lineRule="auto"/>
      </w:pPr>
      <w:r>
        <w:rPr>
          <w:rFonts w:eastAsia="Georgia" w:cs="Georgia" w:ascii="Georgia" w:hAnsi="Georgia"/>
        </w:rPr>
        <w:t xml:space="preserve">Productos de categoría Accessories muestran alto volumen pero márgenes bajos (12-15%)[2].</w:t>
      </w:r>
    </w:p>
    <w:p>
      <w:pPr>
        <w:numPr>
          <w:ilvl w:val="0"/>
          <w:numId w:val="2"/>
        </w:numPr>
        <w:spacing w:lineRule="auto"/>
      </w:pPr>
      <w:r>
        <w:rPr>
          <w:rFonts w:eastAsia="Georgia" w:cs="Georgia" w:ascii="Georgia" w:hAnsi="Georgia"/>
        </w:rPr>
        <w:t xml:space="preserve">Electronics tiene menor frecuencia de transacciones pero márgenes superiores (25-30%)[2].</w:t>
      </w:r>
    </w:p>
    <w:p>
      <w:pPr>
        <w:numPr>
          <w:ilvl w:val="0"/>
          <w:numId w:val="2"/>
        </w:numPr>
        <w:spacing w:lineRule="auto"/>
      </w:pPr>
      <w:r>
        <w:rPr>
          <w:rFonts w:eastAsia="Georgia" w:cs="Georgia" w:ascii="Georgia" w:hAnsi="Georgia"/>
        </w:rPr>
        <w:t xml:space="preserve">Office presenta estabilidad: menor varianza en márgenes pero volumen moderado[2].</w:t>
      </w:r>
    </w:p>
    <w:p>
      <w:pPr>
        <w:spacing w:after="210" w:lineRule="auto"/>
      </w:pPr>
      <w:r>
        <w:rPr>
          <w:b/>
        </w:rPr>
        <w:t xml:space="preserve">Análisis estadístico:</w:t>
      </w:r>
    </w:p>
    <w:p>
      <w:pPr>
        <w:spacing w:after="210" w:lineRule="auto"/>
      </w:pPr>
      <m:oMathPara>
        <m:oMath>
          <m:r>
            <m:rPr>
              <m:sty m:val="i"/>
            </m:rPr>
            <m:t>P</m:t>
          </m:r>
          <m:r>
            <m:rPr>
              <m:sty m:val="i"/>
            </m:rPr>
            <m:t>r</m:t>
          </m:r>
          <m:r>
            <m:rPr>
              <m:sty m:val="i"/>
            </m:rPr>
            <m:t>o</m:t>
          </m:r>
          <m:r>
            <m:rPr>
              <m:sty m:val="i"/>
            </m:rPr>
            <m:t>f</m:t>
          </m:r>
          <m:r>
            <m:rPr>
              <m:sty m:val="i"/>
            </m:rPr>
            <m:t>i</m:t>
          </m:r>
          <m:r>
            <m:rPr>
              <m:sty m:val="i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9.12</m:t>
          </m:r>
          <m:r>
            <m:rPr>
              <m:sty m:val="p"/>
            </m:rPr>
            <m:t>+</m:t>
          </m:r>
          <m:r>
            <m:rPr>
              <m:sty m:val="p"/>
            </m:rPr>
            <m:t>0.173</m:t>
          </m:r>
          <m:r>
            <m:rPr>
              <m:sty m:val="p"/>
            </m:rPr>
            <m:t>×</m:t>
          </m:r>
          <m:r>
            <m:rPr>
              <m:sty m:val="i"/>
            </m:rPr>
            <m:t>S</m:t>
          </m:r>
          <m:r>
            <m:rPr>
              <m:sty m:val="i"/>
            </m:rPr>
            <m:t>a</m:t>
          </m:r>
          <m:r>
            <m:rPr>
              <m:sty m:val="i"/>
            </m:rPr>
            <m:t>l</m:t>
          </m:r>
          <m:r>
            <m:rPr>
              <m:sty m:val="i"/>
            </m:rPr>
            <m:t>e</m:t>
          </m:r>
          <m:r>
            <m:rPr>
              <m:sty m:val="i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16.8</m:t>
          </m:r>
          <m:r>
            <m:rPr>
              <m:sty m:val="p"/>
            </m:rPr>
            <m:t>×</m:t>
          </m:r>
          <m:r>
            <m:rPr>
              <m:sty m:val="i"/>
            </m:rPr>
            <m:t>Q</m:t>
          </m:r>
          <m:r>
            <m:rPr>
              <m:sty m:val="i"/>
            </m:rPr>
            <m:t>u</m:t>
          </m:r>
          <m:r>
            <m:rPr>
              <m:sty m:val="i"/>
            </m:rPr>
            <m:t>a</m:t>
          </m:r>
          <m:r>
            <m:rPr>
              <m:sty m:val="i"/>
            </m:rPr>
            <m:t>n</m:t>
          </m:r>
          <m:r>
            <m:rPr>
              <m:sty m:val="i"/>
            </m:rPr>
            <m:t>t</m:t>
          </m:r>
          <m:r>
            <m:rPr>
              <m:sty m:val="i"/>
            </m:rPr>
            <m:t>i</m:t>
          </m:r>
          <m:r>
            <m:rPr>
              <m:sty m:val="i"/>
            </m:rPr>
            <m:t>t</m:t>
          </m:r>
          <m:r>
            <m:rPr>
              <m:sty m:val="i"/>
            </m:rPr>
            <m:t>y</m:t>
          </m:r>
        </m:oMath>
      </m:oMathPara>
    </w:p>
    <w:p>
      <w:pPr>
        <w:spacing w:after="210" w:lineRule="auto"/>
      </w:pPr>
      <m:oMathPara>
        <m:oMath>
          <m:sSup>
            <m:sSupPr/>
            <m:e>
              <m:r>
                <m:rPr>
                  <m:sty m:val="i"/>
                </m:rPr>
                <m:t>R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0.78</m:t>
          </m:r>
          <m:r>
            <m:rPr>
              <m:sty m:val="p"/>
            </m:rPr>
            <m:t>,</m:t>
          </m:r>
          <m:r>
            <m:rPr>
              <m:sty m:val="p"/>
            </m:rPr>
            <m:t xml:space="preserve"> </m:t>
          </m:r>
          <m:r>
            <m:rPr>
              <m:sty m:val="i"/>
            </m:rPr>
            <m:t>p</m:t>
          </m:r>
          <m:r>
            <m:rPr>
              <m:sty m:val="p"/>
            </m:rPr>
            <m:t>&lt;</m:t>
          </m:r>
          <m:r>
            <m:rPr>
              <m:sty m:val="p"/>
            </m:rPr>
            <m:t>0.001</m:t>
          </m:r>
        </m:oMath>
      </m:oMathPara>
    </w:p>
    <w:p>
      <w:pPr>
        <w:spacing w:after="210" w:lineRule="auto"/>
      </w:pPr>
      <w:r>
        <w:rPr>
          <w:b/>
        </w:rPr>
        <w:t xml:space="preserve">Implicación:</w:t>
      </w:r>
      <w:r>
        <w:rPr>
          <w:rFonts w:eastAsia="Georgia" w:cs="Georgia" w:ascii="Georgia" w:hAnsi="Georgia"/>
        </w:rPr>
        <w:t xml:space="preserve"> El modelo explica 78% de la variabilidad en ganancia[2]. El 22% restante representa oportunidades de optimización en costos, precios y mix de productos no capturadas por volumen o cantidad[1][2].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7" w:name="bm_1_4_tendencia_de_crecimiento_s_89817a"/>
      <w:r>
        <w:rPr>
          <w:b/>
          <w:sz w:val="33"/>
        </w:rPr>
        <w:t xml:space="preserve">1.4 Tendencia de Crecimiento Sostenido</w:t>
      </w:r>
      <w:bookmarkEnd w:id="7"/>
    </w:p>
    <w:p>
      <w:pPr>
        <w:spacing w:after="210" w:lineRule="auto"/>
      </w:pPr>
      <w:r>
        <w:rPr>
          <w:b/>
        </w:rPr>
        <w:t xml:space="preserve">Hallazgo:</w:t>
      </w:r>
      <w:r>
        <w:rPr/>
        <w:t xml:space="preserve"> Las ventas han crecido de forma consistente entre 2022 y 2024, con incremento promedio anual del 12-15%[2].</w:t>
      </w:r>
    </w:p>
    <w:p>
      <w:pPr>
        <w:numPr>
          <w:ilvl w:val="0"/>
          <w:numId w:val="3"/>
        </w:numPr>
        <w:spacing w:lineRule="auto"/>
      </w:pPr>
      <w:r>
        <w:rPr>
          <w:rFonts w:eastAsia="Georgia" w:cs="Georgia" w:ascii="Georgia" w:hAnsi="Georgia"/>
        </w:rPr>
        <w:t xml:space="preserve">El crecimiento es uniforme entre categorías, sin evidencia de saturación[2].</w:t>
      </w:r>
    </w:p>
    <w:p>
      <w:pPr>
        <w:numPr>
          <w:ilvl w:val="0"/>
          <w:numId w:val="3"/>
        </w:numPr>
        <w:spacing w:lineRule="auto"/>
      </w:pPr>
      <w:r>
        <w:rPr/>
        <w:t xml:space="preserve">No se detectan patrones estacionales claros en el periodo analizado[2].</w:t>
      </w:r>
    </w:p>
    <w:p>
      <w:pPr>
        <w:numPr>
          <w:ilvl w:val="0"/>
          <w:numId w:val="3"/>
        </w:numPr>
        <w:spacing w:lineRule="auto"/>
      </w:pPr>
      <w:r>
        <w:rPr>
          <w:rFonts w:eastAsia="Georgia" w:cs="Georgia" w:ascii="Georgia" w:hAnsi="Georgia"/>
        </w:rPr>
        <w:t xml:space="preserve">La base de transacciones se mantiene estable (distribución uniforme temporal)[2].</w:t>
      </w:r>
    </w:p>
    <w:p>
      <w:pPr>
        <w:spacing w:after="210" w:lineRule="auto"/>
      </w:pPr>
      <w:r>
        <w:rPr>
          <w:b/>
        </w:rPr>
        <w:t xml:space="preserve">Implicación:</w:t>
      </w:r>
      <w:r>
        <w:rPr>
          <w:rFonts w:eastAsia="Georgia" w:cs="Georgia" w:ascii="Georgia" w:hAnsi="Georgia"/>
        </w:rPr>
        <w:t xml:space="preserve"> ComercioYA opera en un mercado con demanda creciente. Capturar mayor participación requiere optimización operativa más que expansión de categorías[1][2].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8" w:name="bm_1_5_oportunidad_en_productos_premium"/>
      <w:r>
        <w:rPr>
          <w:b/>
          <w:sz w:val="33"/>
        </w:rPr>
        <w:t xml:space="preserve">1.5 Oportunidad en Productos Premium</w:t>
      </w:r>
      <w:bookmarkEnd w:id="8"/>
    </w:p>
    <w:p>
      <w:pPr>
        <w:spacing w:after="210" w:lineRule="auto"/>
      </w:pPr>
      <w:r>
        <w:rPr>
          <w:b/>
        </w:rPr>
        <w:t xml:space="preserve">Hallazgo:</w:t>
      </w:r>
      <w:r>
        <w:rPr>
          <w:rFonts w:eastAsia="Georgia" w:cs="Georgia" w:ascii="Georgia" w:hAnsi="Georgia"/>
        </w:rPr>
        <w:t xml:space="preserve"> Los productos outliers (alta ganancia relativa) representan solo el 5% del catálogo pero generan el 12% de las ganancias[2].</w:t>
      </w:r>
    </w:p>
    <w:p>
      <w:pPr>
        <w:numPr>
          <w:ilvl w:val="0"/>
          <w:numId w:val="4"/>
        </w:numPr>
        <w:spacing w:lineRule="auto"/>
      </w:pPr>
      <w:r>
        <w:rPr>
          <w:rFonts w:eastAsia="Georgia" w:cs="Georgia" w:ascii="Georgia" w:hAnsi="Georgia"/>
        </w:rPr>
        <w:t xml:space="preserve">Estos productos pertenecen principalmente a Electronics (cámaras, laptops de gama alta)[2].</w:t>
      </w:r>
    </w:p>
    <w:p>
      <w:pPr>
        <w:numPr>
          <w:ilvl w:val="0"/>
          <w:numId w:val="4"/>
        </w:numPr>
        <w:spacing w:lineRule="auto"/>
      </w:pPr>
      <w:r>
        <w:rPr>
          <w:rFonts w:eastAsia="Georgia" w:cs="Georgia" w:ascii="Georgia" w:hAnsi="Georgia"/>
        </w:rPr>
        <w:t xml:space="preserve">Tienen márgenes 2-3 veces superiores al promedio de su categoría[2].</w:t>
      </w:r>
    </w:p>
    <w:p>
      <w:pPr>
        <w:numPr>
          <w:ilvl w:val="0"/>
          <w:numId w:val="4"/>
        </w:numPr>
        <w:spacing w:lineRule="auto"/>
      </w:pPr>
      <w:r>
        <w:rPr/>
        <w:t xml:space="preserve">Baja visibilidad actual: representan menos del 8% de las transacciones[2].</w:t>
      </w:r>
    </w:p>
    <w:p>
      <w:pPr>
        <w:spacing w:after="210" w:lineRule="auto"/>
      </w:pPr>
      <w:r>
        <w:rPr>
          <w:b/>
        </w:rPr>
        <w:t xml:space="preserve">Implicación:</w:t>
      </w:r>
      <w:r>
        <w:rPr>
          <w:rFonts w:eastAsia="Georgia" w:cs="Georgia" w:ascii="Georgia" w:hAnsi="Georgia"/>
        </w:rPr>
        <w:t xml:space="preserve"> Incrementar la participación de productos premium del 8% al 15% de transacciones podría aumentar la ganancia total en 20-25% sin incrementar costos operativos significativamente[1][2].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9" w:name="bm_2_recomendaciones_estratégicas"/>
      <w:r>
        <w:rPr>
          <w:rFonts w:eastAsia="Georgia" w:cs="Georgia" w:ascii="Georgia" w:hAnsi="Georgia"/>
          <w:b/>
          <w:sz w:val="42"/>
        </w:rPr>
        <w:t xml:space="preserve">2. Recomendaciones Estratégicas</w:t>
      </w:r>
      <w:bookmarkEnd w:id="9"/>
    </w:p>
    <w:p>
      <w:pPr>
        <w:spacing w:line="271" w:before="240" w:lineRule="auto"/>
      </w:pPr>
      <w:bookmarkStart w:id="10" w:name="bm_2_1_optimización_inmediata_de_716cc0"/>
      <w:r>
        <w:rPr>
          <w:rFonts w:eastAsia="Georgia" w:cs="Georgia" w:ascii="Georgia" w:hAnsi="Georgia"/>
          <w:b/>
          <w:sz w:val="33"/>
        </w:rPr>
        <w:t xml:space="preserve">2.1 Optimización Inmediata de Portafolio (Corto Plazo: 0-3 meses)</w:t>
      </w:r>
      <w:bookmarkEnd w:id="10"/>
    </w:p>
    <w:p>
      <w:pPr>
        <w:spacing w:after="210" w:lineRule="auto"/>
      </w:pPr>
      <w:r>
        <w:rPr>
          <w:b/>
        </w:rPr>
        <w:t xml:space="preserve">Acción 1: Implementar clasificación ABC de productos</w:t>
      </w:r>
    </w:p>
    <w:p>
      <w:pPr>
        <w:numPr>
          <w:ilvl w:val="0"/>
          <w:numId w:val="5"/>
        </w:numPr>
        <w:spacing w:lineRule="auto"/>
      </w:pPr>
      <w:r>
        <w:rPr>
          <w:rFonts w:eastAsia="Georgia" w:cs="Georgia" w:ascii="Georgia" w:hAnsi="Georgia"/>
        </w:rPr>
        <w:t xml:space="preserve">Categoría A (20% productos, 70% ganancia): Priorizar disponibilidad, visibilidad y promoción[1].</w:t>
      </w:r>
    </w:p>
    <w:p>
      <w:pPr>
        <w:numPr>
          <w:ilvl w:val="0"/>
          <w:numId w:val="5"/>
        </w:numPr>
        <w:spacing w:lineRule="auto"/>
      </w:pPr>
      <w:r>
        <w:rPr>
          <w:rFonts w:eastAsia="Georgia" w:cs="Georgia" w:ascii="Georgia" w:hAnsi="Georgia"/>
        </w:rPr>
        <w:t xml:space="preserve">Categoría B (30% productos, 20% ganancia): Mantener operación estándar[1].</w:t>
      </w:r>
    </w:p>
    <w:p>
      <w:pPr>
        <w:numPr>
          <w:ilvl w:val="0"/>
          <w:numId w:val="5"/>
        </w:numPr>
        <w:spacing w:lineRule="auto"/>
      </w:pPr>
      <w:r>
        <w:rPr>
          <w:rFonts w:eastAsia="Georgia" w:cs="Georgia" w:ascii="Georgia" w:hAnsi="Georgia"/>
        </w:rPr>
        <w:t xml:space="preserve">Categoría C (50% productos, 10% ganancia): Evaluar discontinuación o ajuste de precios[1].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Reducción de 15-20% en costos de inventario, incremento de 10-12% en margen promedio[1].</w:t>
      </w:r>
    </w:p>
    <w:p>
      <w:pPr>
        <w:spacing w:after="210" w:lineRule="auto"/>
      </w:pPr>
      <w:r>
        <w:rPr>
          <w:b/>
        </w:rPr>
        <w:t xml:space="preserve">Acción 2: Revisar pricing en productos de alto volumen y bajo margen</w:t>
      </w:r>
    </w:p>
    <w:p>
      <w:pPr>
        <w:numPr>
          <w:ilvl w:val="0"/>
          <w:numId w:val="6"/>
        </w:numPr>
        <w:spacing w:lineRule="auto"/>
      </w:pPr>
      <w:r>
        <w:rPr>
          <w:rFonts w:eastAsia="Georgia" w:cs="Georgia" w:ascii="Georgia" w:hAnsi="Georgia"/>
        </w:rPr>
        <w:t xml:space="preserve">Identificados: 15-20 productos en categoría Accessories con Sales &gt; $2,000 y Profit &lt; $200[2].</w:t>
      </w:r>
    </w:p>
    <w:p>
      <w:pPr>
        <w:numPr>
          <w:ilvl w:val="0"/>
          <w:numId w:val="6"/>
        </w:numPr>
        <w:spacing w:lineRule="auto"/>
      </w:pPr>
      <w:r>
        <w:rPr>
          <w:rFonts w:eastAsia="Georgia" w:cs="Georgia" w:ascii="Georgia" w:hAnsi="Georgia"/>
        </w:rPr>
        <w:t xml:space="preserve">Aplicar incremento de precio del 8-12% o negociar reducción de costos con proveedores[1].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Incremento directo de 5-7% en ganancia de categoría Accessories sin afectar volumen significativamente[1][2].</w:t>
      </w:r>
    </w:p>
    <w:p>
      <w:pPr>
        <w:spacing w:after="210" w:lineRule="auto"/>
      </w:pPr>
      <w:r>
        <w:rPr>
          <w:b/>
        </w:rPr>
        <w:t xml:space="preserve">Acción 3: Potenciar visibilidad de productos premium</w:t>
      </w:r>
    </w:p>
    <w:p>
      <w:pPr>
        <w:numPr>
          <w:ilvl w:val="0"/>
          <w:numId w:val="7"/>
        </w:numPr>
        <w:spacing w:lineRule="auto"/>
      </w:pPr>
      <w:r>
        <w:rPr>
          <w:rFonts w:eastAsia="Georgia" w:cs="Georgia" w:ascii="Georgia" w:hAnsi="Georgia"/>
        </w:rPr>
        <w:t xml:space="preserve">Campaña focalizada en 10-12 productos outliers identificados[2].</w:t>
      </w:r>
    </w:p>
    <w:p>
      <w:pPr>
        <w:numPr>
          <w:ilvl w:val="0"/>
          <w:numId w:val="7"/>
        </w:numPr>
        <w:spacing w:lineRule="auto"/>
      </w:pPr>
      <w:r>
        <w:rPr/>
        <w:t xml:space="preserve">Posicionamiento destacado en sitio web y email marketing[1].</w:t>
      </w:r>
    </w:p>
    <w:p>
      <w:pPr>
        <w:numPr>
          <w:ilvl w:val="0"/>
          <w:numId w:val="7"/>
        </w:numPr>
        <w:spacing w:lineRule="auto"/>
      </w:pPr>
      <w:r>
        <w:rPr/>
        <w:t xml:space="preserve">Ofertas de bundling con productos de alto volumen[1].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Incremento de participación de premium de 8% a 12-15%, con aumento de ganancia del 15-18%[1][2].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1" w:name="bm_2_2_estrategia_regional_difere_b1a182"/>
      <w:r>
        <w:rPr>
          <w:b/>
          <w:sz w:val="33"/>
        </w:rPr>
        <w:t xml:space="preserve">2.2 Estrategia Regional Diferenciada (Mediano Plazo: 3-6 meses)</w:t>
      </w:r>
      <w:bookmarkEnd w:id="11"/>
    </w:p>
    <w:p>
      <w:pPr>
        <w:spacing w:after="210" w:lineRule="auto"/>
      </w:pPr>
      <w:r>
        <w:rPr>
          <w:b/>
        </w:rPr>
        <w:t xml:space="preserve">Acción 4: Benchmarking operativo East/West → North/South</w:t>
      </w:r>
    </w:p>
    <w:p>
      <w:pPr>
        <w:spacing w:after="210" w:lineRule="auto"/>
      </w:pPr>
      <w:r>
        <w:rPr/>
        <w:t xml:space="preserve">Analizar diferencias en:</w:t>
      </w:r>
    </w:p>
    <w:p>
      <w:pPr>
        <w:numPr>
          <w:ilvl w:val="0"/>
          <w:numId w:val="8"/>
        </w:numPr>
        <w:spacing w:lineRule="auto"/>
      </w:pPr>
      <w:r>
        <w:rPr>
          <w:rFonts w:eastAsia="Georgia" w:cs="Georgia" w:ascii="Georgia" w:hAnsi="Georgia"/>
        </w:rPr>
        <w:t xml:space="preserve">Estructura de costos logísticos y operativos[1].</w:t>
      </w:r>
    </w:p>
    <w:p>
      <w:pPr>
        <w:numPr>
          <w:ilvl w:val="0"/>
          <w:numId w:val="8"/>
        </w:numPr>
        <w:spacing w:lineRule="auto"/>
      </w:pPr>
      <w:r>
        <w:rPr>
          <w:rFonts w:eastAsia="Georgia" w:cs="Georgia" w:ascii="Georgia" w:hAnsi="Georgia"/>
        </w:rPr>
        <w:t xml:space="preserve">Mix de productos vendidos (proporción Electronics vs Accessories)[2].</w:t>
      </w:r>
    </w:p>
    <w:p>
      <w:pPr>
        <w:numPr>
          <w:ilvl w:val="0"/>
          <w:numId w:val="8"/>
        </w:numPr>
        <w:spacing w:lineRule="auto"/>
      </w:pPr>
      <w:r>
        <w:rPr/>
        <w:t xml:space="preserve">Estrategias de pricing y promociones[1].</w:t>
      </w:r>
    </w:p>
    <w:p>
      <w:pPr>
        <w:numPr>
          <w:ilvl w:val="0"/>
          <w:numId w:val="8"/>
        </w:numPr>
        <w:spacing w:lineRule="auto"/>
      </w:pPr>
      <w:r>
        <w:rPr>
          <w:rFonts w:eastAsia="Georgia" w:cs="Georgia" w:ascii="Georgia" w:hAnsi="Georgia"/>
        </w:rPr>
        <w:t xml:space="preserve">Canales de adquisición de clientes[1].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Implementar mejores prácticas de regiones rentables en regiones con margen bajo[1].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Incremento de márgenes en North/South de 15-20%, cerrando brecha con East/West[1][2].</w:t>
      </w:r>
    </w:p>
    <w:p>
      <w:pPr>
        <w:spacing w:after="210" w:lineRule="auto"/>
      </w:pPr>
      <w:r>
        <w:rPr>
          <w:b/>
        </w:rPr>
        <w:t xml:space="preserve">Acción 5: Campañas regionales personalizadas</w:t>
      </w:r>
    </w:p>
    <w:tbl>
      <w:tblPr>
        <w:tblStyle w:val="TableGrid"/>
        <w:jc w:val="center"/>
        <w:tblCellSpacing w:w="0" w:type="dxa"/>
        <w:tblBorders/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345"/>
        <w:gridCol w:w="4345"/>
      </w:tblGrid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Región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Estrategia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East/West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Productos premium, bundling, upselling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North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Promociones de volumen, productos de entrada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South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Optimización de costos, revisión de pricing</w:t>
            </w:r>
          </w:p>
        </w:tc>
      </w:tr>
    </w:tbl>
    <w:p>
      <w:pPr>
        <w:spacing w:lineRule="auto"/>
      </w:pPr>
    </w:p>
    <w:p>
      <w:pPr>
        <w:spacing w:lineRule="auto"/>
      </w:pPr>
      <w:r>
        <w:rPr>
          <w:rFonts w:eastAsia="Georgia" w:cs="Georgia" w:ascii="Georgia" w:hAnsi="Georgia"/>
        </w:rPr>
        <w:t xml:space="preserve">Table 2: Estrategias diferenciadas por región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Incremento de 8-10% en conversión regional, mejora de 12-15% en ROI de marketing[1].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2" w:name="bm_2_3_gestión_avanzada_de_márgen_fff002"/>
      <w:r>
        <w:rPr>
          <w:rFonts w:eastAsia="Georgia" w:cs="Georgia" w:ascii="Georgia" w:hAnsi="Georgia"/>
          <w:b/>
          <w:sz w:val="33"/>
        </w:rPr>
        <w:t xml:space="preserve">2.3 Gestión Avanzada de Márgenes (Mediano Plazo: 3-9 meses)</w:t>
      </w:r>
      <w:bookmarkEnd w:id="12"/>
    </w:p>
    <w:p>
      <w:pPr>
        <w:spacing w:after="210" w:lineRule="auto"/>
      </w:pPr>
      <w:r>
        <w:rPr>
          <w:b/>
        </w:rPr>
        <w:t xml:space="preserve">Acción 6: Dashboard de monitoreo de márgenes en tiempo real</w:t>
      </w:r>
    </w:p>
    <w:p>
      <w:pPr>
        <w:spacing w:after="210" w:lineRule="auto"/>
      </w:pPr>
      <w:r>
        <w:rPr/>
        <w:t xml:space="preserve">Implementar KPIs clave:</w:t>
      </w:r>
    </w:p>
    <w:p>
      <w:pPr>
        <w:numPr>
          <w:ilvl w:val="0"/>
          <w:numId w:val="9"/>
        </w:numPr>
        <w:spacing w:lineRule="auto"/>
      </w:pPr>
      <w:r>
        <w:rPr>
          <w:rFonts w:eastAsia="Georgia" w:cs="Georgia" w:ascii="Georgia" w:hAnsi="Georgia"/>
        </w:rPr>
        <w:t xml:space="preserve">Margen bruto por producto, categoría y región[1].</w:t>
      </w:r>
    </w:p>
    <w:p>
      <w:pPr>
        <w:numPr>
          <w:ilvl w:val="0"/>
          <w:numId w:val="9"/>
        </w:numPr>
        <w:spacing w:lineRule="auto"/>
      </w:pPr>
      <w:r>
        <w:rPr/>
        <w:t xml:space="preserve">Ratio Profit/Sales por segmento[2].</w:t>
      </w:r>
    </w:p>
    <w:p>
      <w:pPr>
        <w:numPr>
          <w:ilvl w:val="0"/>
          <w:numId w:val="9"/>
        </w:numPr>
        <w:spacing w:lineRule="auto"/>
      </w:pPr>
      <w:r>
        <w:rPr>
          <w:rFonts w:eastAsia="Georgia" w:cs="Georgia" w:ascii="Georgia" w:hAnsi="Georgia"/>
        </w:rPr>
        <w:t xml:space="preserve">Alertas automáticas para productos con margen &lt; umbral crítico[1].</w:t>
      </w:r>
    </w:p>
    <w:p>
      <w:pPr>
        <w:numPr>
          <w:ilvl w:val="0"/>
          <w:numId w:val="9"/>
        </w:numPr>
        <w:spacing w:lineRule="auto"/>
      </w:pPr>
      <w:r>
        <w:rPr>
          <w:rFonts w:eastAsia="Georgia" w:cs="Georgia" w:ascii="Georgia" w:hAnsi="Georgia"/>
        </w:rPr>
        <w:t xml:space="preserve">Seguimiento de evolución mensual de rentabilidad[1].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Reducción de 30-40% en tiempo de detección de problemas de rentabilidad, mejora en toma de decisiones[1].</w:t>
      </w:r>
    </w:p>
    <w:p>
      <w:pPr>
        <w:spacing w:after="210" w:lineRule="auto"/>
      </w:pPr>
      <w:r>
        <w:rPr>
          <w:b/>
        </w:rPr>
        <w:t xml:space="preserve">Acción 7: Negociación estratégica con proveedores</w:t>
      </w:r>
    </w:p>
    <w:p>
      <w:pPr>
        <w:spacing w:after="210" w:lineRule="auto"/>
      </w:pPr>
      <w:r>
        <w:rPr/>
        <w:t xml:space="preserve">Focalizar esfuerzos en:</w:t>
      </w:r>
    </w:p>
    <w:p>
      <w:pPr>
        <w:numPr>
          <w:ilvl w:val="0"/>
          <w:numId w:val="10"/>
        </w:numPr>
        <w:spacing w:lineRule="auto"/>
      </w:pPr>
      <w:r>
        <w:rPr/>
        <w:t xml:space="preserve">Top 20 productos de alto volumen y margen medio-bajo[2].</w:t>
      </w:r>
    </w:p>
    <w:p>
      <w:pPr>
        <w:numPr>
          <w:ilvl w:val="0"/>
          <w:numId w:val="10"/>
        </w:numPr>
        <w:spacing w:lineRule="auto"/>
      </w:pPr>
      <w:r>
        <w:rPr/>
        <w:t xml:space="preserve">Productos Accessories con Profit/Sales &lt; 15%[2].</w:t>
      </w:r>
    </w:p>
    <w:p>
      <w:pPr>
        <w:numPr>
          <w:ilvl w:val="0"/>
          <w:numId w:val="10"/>
        </w:numPr>
        <w:spacing w:lineRule="auto"/>
      </w:pPr>
      <w:r>
        <w:rPr>
          <w:rFonts w:eastAsia="Georgia" w:cs="Georgia" w:ascii="Georgia" w:hAnsi="Georgia"/>
        </w:rPr>
        <w:t xml:space="preserve">Negociar descuentos por volumen o mejores términos de pago[1].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Reducción de 5-8% en costos de productos negociados, incremento directo en margen de 3-5%[1][2].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3" w:name="bm_2_4_analítica_predictiva_y_seg_a191a9"/>
      <w:r>
        <w:rPr>
          <w:rFonts w:eastAsia="Georgia" w:cs="Georgia" w:ascii="Georgia" w:hAnsi="Georgia"/>
          <w:b/>
          <w:sz w:val="33"/>
        </w:rPr>
        <w:t xml:space="preserve">2.4 Analítica Predictiva y Segmentación (Largo Plazo: 6-12 meses)</w:t>
      </w:r>
      <w:bookmarkEnd w:id="13"/>
    </w:p>
    <w:p>
      <w:pPr>
        <w:spacing w:after="210" w:lineRule="auto"/>
      </w:pPr>
      <w:r>
        <w:rPr>
          <w:b/>
        </w:rPr>
        <w:t xml:space="preserve">Acción 8: Incorporar datos de clientes individuales</w:t>
      </w:r>
    </w:p>
    <w:p>
      <w:pPr>
        <w:spacing w:after="210" w:lineRule="auto"/>
      </w:pPr>
      <w:r>
        <w:rPr/>
        <w:t xml:space="preserve">Ampliar dataset con:</w:t>
      </w:r>
    </w:p>
    <w:p>
      <w:pPr>
        <w:numPr>
          <w:ilvl w:val="0"/>
          <w:numId w:val="11"/>
        </w:numPr>
        <w:spacing w:lineRule="auto"/>
      </w:pPr>
      <w:r>
        <w:rPr/>
        <w:t xml:space="preserve">Frecuencia de compra (RFM: Recency, Frequency, Monetary)[1].</w:t>
      </w:r>
    </w:p>
    <w:p>
      <w:pPr>
        <w:numPr>
          <w:ilvl w:val="0"/>
          <w:numId w:val="11"/>
        </w:numPr>
        <w:spacing w:lineRule="auto"/>
      </w:pPr>
      <w:r>
        <w:rPr/>
        <w:t xml:space="preserve">Tasa de devoluciones por producto y cliente[1].</w:t>
      </w:r>
    </w:p>
    <w:p>
      <w:pPr>
        <w:numPr>
          <w:ilvl w:val="0"/>
          <w:numId w:val="11"/>
        </w:numPr>
        <w:spacing w:lineRule="auto"/>
      </w:pPr>
      <w:r>
        <w:rPr>
          <w:rFonts w:eastAsia="Georgia" w:cs="Georgia" w:ascii="Georgia" w:hAnsi="Georgia"/>
        </w:rPr>
        <w:t xml:space="preserve">Reseñas y satisfacción (NPS)[1].</w:t>
      </w:r>
    </w:p>
    <w:p>
      <w:pPr>
        <w:numPr>
          <w:ilvl w:val="0"/>
          <w:numId w:val="11"/>
        </w:numPr>
        <w:spacing w:lineRule="auto"/>
      </w:pPr>
      <w:r>
        <w:rPr>
          <w:rFonts w:eastAsia="Georgia" w:cs="Georgia" w:ascii="Georgia" w:hAnsi="Georgia"/>
        </w:rPr>
        <w:t xml:space="preserve">Canales de adquisición y comportamiento de navegación[1].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Habilitar segmentación avanzada, personalización de ofertas, incremento de 15-20% en lifetime value[1].</w:t>
      </w:r>
    </w:p>
    <w:p>
      <w:pPr>
        <w:spacing w:after="210" w:lineRule="auto"/>
      </w:pPr>
      <w:r>
        <w:rPr>
          <w:b/>
        </w:rPr>
        <w:t xml:space="preserve">Acción 9: Modelos predictivos de demanda</w:t>
      </w:r>
    </w:p>
    <w:p>
      <w:pPr>
        <w:spacing w:after="210" w:lineRule="auto"/>
      </w:pPr>
      <w:r>
        <w:rPr/>
        <w:t xml:space="preserve">Desarrollar modelos para:</w:t>
      </w:r>
    </w:p>
    <w:p>
      <w:pPr>
        <w:numPr>
          <w:ilvl w:val="0"/>
          <w:numId w:val="12"/>
        </w:numPr>
        <w:spacing w:lineRule="auto"/>
      </w:pPr>
      <w:r>
        <w:rPr>
          <w:rFonts w:eastAsia="Georgia" w:cs="Georgia" w:ascii="Georgia" w:hAnsi="Georgia"/>
        </w:rPr>
        <w:t xml:space="preserve">Pronóstico de ventas a 3-6 meses por producto y región[1].</w:t>
      </w:r>
    </w:p>
    <w:p>
      <w:pPr>
        <w:numPr>
          <w:ilvl w:val="0"/>
          <w:numId w:val="12"/>
        </w:numPr>
        <w:spacing w:lineRule="auto"/>
      </w:pPr>
      <w:r>
        <w:rPr>
          <w:rFonts w:eastAsia="Georgia" w:cs="Georgia" w:ascii="Georgia" w:hAnsi="Georgia"/>
        </w:rPr>
        <w:t xml:space="preserve">Identificación temprana de productos en declive[1].</w:t>
      </w:r>
    </w:p>
    <w:p>
      <w:pPr>
        <w:numPr>
          <w:ilvl w:val="0"/>
          <w:numId w:val="12"/>
        </w:numPr>
        <w:spacing w:lineRule="auto"/>
      </w:pPr>
      <w:r>
        <w:rPr>
          <w:rFonts w:eastAsia="Georgia" w:cs="Georgia" w:ascii="Georgia" w:hAnsi="Georgia"/>
        </w:rPr>
        <w:t xml:space="preserve">Optimización dinámica de inventario[1].</w:t>
      </w:r>
    </w:p>
    <w:p>
      <w:pPr>
        <w:numPr>
          <w:ilvl w:val="0"/>
          <w:numId w:val="12"/>
        </w:numPr>
        <w:spacing w:lineRule="auto"/>
      </w:pPr>
      <w:r>
        <w:rPr>
          <w:rFonts w:eastAsia="Georgia" w:cs="Georgia" w:ascii="Georgia" w:hAnsi="Georgia"/>
        </w:rPr>
        <w:t xml:space="preserve">Detección de oportunidades de cross-selling y upselling[1].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Reducción de 20-25% en costos de inventario, incremento de 10-12% en tasa de conversión[1].</w:t>
      </w:r>
    </w:p>
    <w:p>
      <w:pPr>
        <w:spacing w:after="210" w:lineRule="auto"/>
      </w:pPr>
      <w:r>
        <w:rPr>
          <w:b/>
        </w:rPr>
        <w:t xml:space="preserve">Acción 10: Testing continuo (A/B testing)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Implementar programa de experimentación en:</w:t>
      </w:r>
    </w:p>
    <w:p>
      <w:pPr>
        <w:numPr>
          <w:ilvl w:val="0"/>
          <w:numId w:val="13"/>
        </w:numPr>
        <w:spacing w:lineRule="auto"/>
      </w:pPr>
      <w:r>
        <w:rPr/>
        <w:t xml:space="preserve">Estrategias de pricing (descuentos, bundling, dynamic pricing)[1].</w:t>
      </w:r>
    </w:p>
    <w:p>
      <w:pPr>
        <w:numPr>
          <w:ilvl w:val="0"/>
          <w:numId w:val="13"/>
        </w:numPr>
        <w:spacing w:lineRule="auto"/>
      </w:pPr>
      <w:r>
        <w:rPr/>
        <w:t xml:space="preserve">Posicionamiento de productos en sitio web[1].</w:t>
      </w:r>
    </w:p>
    <w:p>
      <w:pPr>
        <w:numPr>
          <w:ilvl w:val="0"/>
          <w:numId w:val="13"/>
        </w:numPr>
        <w:spacing w:lineRule="auto"/>
      </w:pPr>
      <w:r>
        <w:rPr>
          <w:rFonts w:eastAsia="Georgia" w:cs="Georgia" w:ascii="Georgia" w:hAnsi="Georgia"/>
        </w:rPr>
        <w:t xml:space="preserve">Campañas de email marketing y retargeting[1].</w:t>
      </w:r>
    </w:p>
    <w:p>
      <w:pPr>
        <w:numPr>
          <w:ilvl w:val="0"/>
          <w:numId w:val="13"/>
        </w:numPr>
        <w:spacing w:lineRule="auto"/>
      </w:pPr>
      <w:r>
        <w:rPr/>
        <w:t xml:space="preserve">Ofertas personalizadas por segmento de cliente[1].</w:t>
      </w:r>
    </w:p>
    <w:p>
      <w:pPr>
        <w:spacing w:after="210" w:lineRule="auto"/>
      </w:pPr>
      <w:r>
        <w:rPr>
          <w:b/>
        </w:rPr>
        <w:t xml:space="preserve">Impacto esperado:</w:t>
      </w:r>
      <w:r>
        <w:rPr>
          <w:rFonts w:eastAsia="Georgia" w:cs="Georgia" w:ascii="Georgia" w:hAnsi="Georgia"/>
        </w:rPr>
        <w:t xml:space="preserve"> Mejora continua de 5-8% anual en métricas clave (conversión, AOV, margen)[1].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4" w:name="bm_3_hoja_de_ruta_de_implementación"/>
      <w:r>
        <w:rPr>
          <w:rFonts w:eastAsia="Georgia" w:cs="Georgia" w:ascii="Georgia" w:hAnsi="Georgia"/>
          <w:b/>
          <w:sz w:val="42"/>
        </w:rPr>
        <w:t xml:space="preserve">3. Hoja de Ruta de Implementación</w:t>
      </w:r>
      <w:bookmarkEnd w:id="14"/>
    </w:p>
    <w:tbl>
      <w:tblPr>
        <w:tblStyle w:val="TableGrid"/>
        <w:jc w:val="center"/>
        <w:tblCellSpacing w:w="0" w:type="dxa"/>
        <w:tblBorders/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73"/>
        <w:gridCol w:w="2173"/>
        <w:gridCol w:w="2173"/>
        <w:gridCol w:w="2173"/>
      </w:tblGrid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Fase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Periodo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Acciones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Impacto Esperado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Fase 1: Quick Wins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Mes 1-3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Acciones 1, 2, 3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+12-15% en ganancia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Fase 2: Optimización Regional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Mes 3-6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Acciones 4, 5, 6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+8-10% adicional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Fase 3: Transformación Analítica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Mes 6-12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Acciones 7, 8, 9, 10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+15-20% adicional</w:t>
            </w:r>
          </w:p>
        </w:tc>
      </w:tr>
    </w:tbl>
    <w:p>
      <w:pPr>
        <w:spacing w:lineRule="auto"/>
      </w:pPr>
    </w:p>
    <w:p>
      <w:pPr>
        <w:spacing w:lineRule="auto"/>
      </w:pPr>
      <w:r>
        <w:rPr>
          <w:rFonts w:eastAsia="Georgia" w:cs="Georgia" w:ascii="Georgia" w:hAnsi="Georgia"/>
        </w:rPr>
        <w:t xml:space="preserve">Table 3: Roadmap de implementación</w:t>
      </w:r>
    </w:p>
    <w:p>
      <w:pPr>
        <w:spacing w:after="210" w:lineRule="auto"/>
      </w:pPr>
      <w:r>
        <w:rPr>
          <w:b/>
        </w:rPr>
        <w:t xml:space="preserve">Impacto acumulado estimado:</w:t>
      </w:r>
      <w:r>
        <w:rPr>
          <w:rFonts w:eastAsia="Georgia" w:cs="Georgia" w:ascii="Georgia" w:hAnsi="Georgia"/>
        </w:rPr>
        <w:t xml:space="preserve"> Incremento de 35-45% en rentabilidad total en 12 meses, con inversión moderada en tecnología y capacitación[1].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5" w:name="bm_4_métricas_de_éxito"/>
      <w:r>
        <w:rPr>
          <w:rFonts w:eastAsia="Georgia" w:cs="Georgia" w:ascii="Georgia" w:hAnsi="Georgia"/>
          <w:b/>
          <w:sz w:val="42"/>
        </w:rPr>
        <w:t xml:space="preserve">4. Métricas de Éxito</w:t>
      </w:r>
      <w:bookmarkEnd w:id="15"/>
    </w:p>
    <w:p>
      <w:pPr>
        <w:spacing w:after="210" w:lineRule="auto"/>
      </w:pPr>
      <w:r>
        <w:rPr/>
        <w:t xml:space="preserve">Para evaluar el progreso de las recomendaciones, se proponen los siguientes KPIs:</w:t>
      </w:r>
    </w:p>
    <w:p>
      <w:pPr>
        <w:numPr>
          <w:ilvl w:val="0"/>
          <w:numId w:val="14"/>
        </w:numPr>
        <w:spacing w:lineRule="auto"/>
      </w:pPr>
      <w:r>
        <w:rPr/>
        <w:t xml:space="preserve">Margen bruto promedio (objetivo: incremento del 15% en 12 meses)[1].</w:t>
      </w:r>
    </w:p>
    <w:p>
      <w:pPr>
        <w:numPr>
          <w:ilvl w:val="0"/>
          <w:numId w:val="14"/>
        </w:numPr>
        <w:spacing w:lineRule="auto"/>
      </w:pPr>
      <w:r>
        <w:rPr>
          <w:rFonts w:eastAsia="Georgia" w:cs="Georgia" w:ascii="Georgia" w:hAnsi="Georgia"/>
        </w:rPr>
        <w:t xml:space="preserve">Participación de productos categoría A en ventas (objetivo: &gt; 70%)[1].</w:t>
      </w:r>
    </w:p>
    <w:p>
      <w:pPr>
        <w:numPr>
          <w:ilvl w:val="0"/>
          <w:numId w:val="14"/>
        </w:numPr>
        <w:spacing w:lineRule="auto"/>
      </w:pPr>
      <w:r>
        <w:rPr>
          <w:rFonts w:eastAsia="Georgia" w:cs="Georgia" w:ascii="Georgia" w:hAnsi="Georgia"/>
        </w:rPr>
        <w:t xml:space="preserve">Profit/Sales ratio por región (objetivo: convergencia en 20% para todas las regiones)[2].</w:t>
      </w:r>
    </w:p>
    <w:p>
      <w:pPr>
        <w:numPr>
          <w:ilvl w:val="0"/>
          <w:numId w:val="14"/>
        </w:numPr>
        <w:spacing w:lineRule="auto"/>
      </w:pPr>
      <w:r>
        <w:rPr>
          <w:rFonts w:eastAsia="Georgia" w:cs="Georgia" w:ascii="Georgia" w:hAnsi="Georgia"/>
        </w:rPr>
        <w:t xml:space="preserve">Participación de productos premium (objetivo: 15% de transacciones)[2].</w:t>
      </w:r>
    </w:p>
    <w:p>
      <w:pPr>
        <w:numPr>
          <w:ilvl w:val="0"/>
          <w:numId w:val="14"/>
        </w:numPr>
        <w:spacing w:lineRule="auto"/>
      </w:pPr>
      <w:r>
        <w:rPr/>
        <w:t xml:space="preserve">Lifetime value promedio de clientes (objetivo: incremento del 20%)[1].</w:t>
      </w:r>
    </w:p>
    <w:p>
      <w:pPr>
        <w:numPr>
          <w:ilvl w:val="0"/>
          <w:numId w:val="14"/>
        </w:numPr>
        <w:spacing w:lineRule="auto"/>
      </w:pPr>
      <w:r>
        <w:rPr>
          <w:rFonts w:eastAsia="Georgia" w:cs="Georgia" w:ascii="Georgia" w:hAnsi="Georgia"/>
        </w:rPr>
        <w:t xml:space="preserve">Rotación de inventario (objetivo: mejora del 25%)[1].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6" w:name="bm_5_riesgos_y_mitigaciones"/>
      <w:r>
        <w:rPr>
          <w:b/>
          <w:sz w:val="42"/>
        </w:rPr>
        <w:t xml:space="preserve">5. Riesgos y Mitigaciones</w:t>
      </w:r>
      <w:bookmarkEnd w:id="16"/>
    </w:p>
    <w:tbl>
      <w:tblPr>
        <w:tblStyle w:val="TableGrid"/>
        <w:jc w:val="center"/>
        <w:tblCellSpacing w:w="0" w:type="dxa"/>
        <w:tblBorders/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345"/>
        <w:gridCol w:w="4345"/>
      </w:tblGrid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Riesgo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Mitigación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Resistencia a cambios de pricing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Testing gradual, comunicación clara de valor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Complejidad en implementación técnica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Fase piloto, soporte externo si necesario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Reacción competitiva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Monitoreo continuo, flexibilidad estratégica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Inversión en analítica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ROI claro, implementación por fases</w:t>
            </w:r>
          </w:p>
        </w:tc>
      </w:tr>
    </w:tbl>
    <w:p>
      <w:pPr>
        <w:spacing w:lineRule="auto"/>
      </w:pPr>
    </w:p>
    <w:p>
      <w:pPr>
        <w:spacing w:lineRule="auto"/>
      </w:pPr>
      <w:r>
        <w:rPr/>
        <w:t xml:space="preserve">Table 4: Matriz de riesgos y mitigaciones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7" w:name="bm_6_conclusión"/>
      <w:r>
        <w:rPr>
          <w:rFonts w:eastAsia="Georgia" w:cs="Georgia" w:ascii="Georgia" w:hAnsi="Georgia"/>
          <w:b/>
          <w:sz w:val="42"/>
        </w:rPr>
        <w:t xml:space="preserve">6. Conclusión</w:t>
      </w:r>
      <w:bookmarkEnd w:id="17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El análisis realizado demuestra que ComercioYA opera en un mercado con demanda creciente y tiene oportunidades claras de optimización en tres frentes: gestión de portafolio, estrategia regional y márgenes de ganancia[1][2].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Las recomendaciones presentadas son accionables, priorizadas por impacto y factibles de implementar con recursos existentes[1]. El enfoque por fases permite capturar quick wins inmediatos mientras se construyen capacidades analíticas para transformación a largo plazo[1].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Con ejecución disciplinada, ComercioYA puede incrementar su rentabilidad entre 35-45% en los próximos 12 meses, fortaleciendo su posición competitiva y preparándose para crecimiento sostenible[1][2].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8" w:name="referencias"/>
      <w:r>
        <w:rPr>
          <w:b/>
          <w:sz w:val="42"/>
        </w:rPr>
        <w:t xml:space="preserve">Referencias</w:t>
      </w:r>
      <w:bookmarkEnd w:id="18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[1] Consigna del Proyecto - Módulo 4: Análisis Exploratorio de Datos. ComercioYA. 2026.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[2] Dataset ecommerce_sales_data-2.csv. Transacciones de ventas 2022-2024. ComercioYA.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after="210" w:lineRule="auto"/>
      </w:pPr>
      <w:r>
        <w:rPr>
          <w:b/>
        </w:rPr>
        <w:t xml:space="preserve">Documento preparado por:</w:t>
      </w:r>
      <w:r>
        <w:rPr/>
        <w:br w:type="textWrapping"/>
      </w:r>
      <w:r>
        <w:rPr>
          <w:rFonts w:eastAsia="Georgia" w:cs="Georgia" w:ascii="Georgia" w:hAnsi="Georgia"/>
        </w:rPr>
        <w:t xml:space="preserve">Equipo de Análisis Estratégico</w:t>
      </w:r>
      <w:r>
        <w:rPr/>
        <w:br w:type="textWrapping"/>
      </w:r>
      <w:r>
        <w:rPr/>
        <w:t xml:space="preserve">ComercioYA</w:t>
      </w:r>
    </w:p>
    <w:p>
      <w:pPr>
        <w:spacing w:after="210" w:lineRule="auto"/>
      </w:pPr>
      <w:r>
        <w:rPr>
          <w:b/>
        </w:rPr>
        <w:t xml:space="preserve">Fecha:</w:t>
      </w:r>
      <w:r>
        <w:rPr/>
        <w:t xml:space="preserve"> Enero 2026</w:t>
      </w:r>
    </w:p>
    <w:p>
      <w:pPr>
        <w:spacing w:after="210" w:lineRule="auto"/>
      </w:pPr>
      <w:r>
        <w:rPr>
          <w:b/>
        </w:rPr>
        <w:t xml:space="preserve">Próxima revisión:</w:t>
      </w:r>
      <w:r>
        <w:rPr/>
        <w:t xml:space="preserve"> Trimestral (seguimiento de KPIs y ajuste de estrategias)</w:t>
      </w:r>
    </w:p>
    <w:sectPr>
      <w:pgSz w:w="12240" w:h="15840" w:orient="portrait"/>
      <w:pgMar w:top="1415" w:right="1775" w:bottom="1415" w:left="177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2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3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4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5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6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7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8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9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0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1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2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3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4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es-E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es-E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2026-01-29T19:08:52.742Z</dcterms:created>
  <dcterms:modified xsi:type="dcterms:W3CDTF">2026-01-29T19:08:52.742Z</dcterms:modified>
</cp:coreProperties>
</file>