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rPr>
          <w:rFonts w:ascii="Arial" w:hAnsi="Arial"/>
        </w:rPr>
      </w:pPr>
      <w:bookmarkStart w:id="0" w:name="documento_de_insights_y_recomenda_96f4c0"/>
      <w:r>
        <w:rPr>
          <w:rFonts w:eastAsia="Georgia" w:cs="Georgia" w:ascii="Arial" w:hAnsi="Arial"/>
          <w:b/>
          <w:sz w:val="56"/>
        </w:rPr>
        <w:t>Documento de Insights y Recomendaciones Estratégicas</w:t>
      </w:r>
      <w:bookmarkEnd w:id="0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" w:name="comercioya_análisis_de_ventas_2022_2024"/>
      <w:r>
        <w:rPr>
          <w:rFonts w:eastAsia="Georgia" w:cs="Georgia" w:ascii="Arial" w:hAnsi="Arial"/>
          <w:b/>
          <w:sz w:val="42"/>
        </w:rPr>
        <w:t>ComercioYA - Análisis de Ventas 2022-2024</w:t>
      </w:r>
      <w:bookmarkEnd w:id="1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Dirección de Análisis Estratégico</w:t>
      </w:r>
      <w:r>
        <w:rPr>
          <w:rFonts w:ascii="Arial" w:hAnsi="Arial"/>
        </w:rPr>
        <w:br/>
        <w:t>Enero 2026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" w:name="resumen_ejecutivo"/>
      <w:r>
        <w:rPr>
          <w:rFonts w:ascii="Arial" w:hAnsi="Arial"/>
          <w:b/>
          <w:sz w:val="42"/>
        </w:rPr>
        <w:t>Resumen Ejecutivo</w:t>
      </w:r>
      <w:bookmarkEnd w:id="2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 xml:space="preserve">Este documento presenta los </w:t>
      </w:r>
      <w:r>
        <w:rPr>
          <w:rFonts w:ascii="Arial" w:hAnsi="Arial"/>
          <w:b/>
        </w:rPr>
        <w:t>insights clave</w:t>
      </w:r>
      <w:r>
        <w:rPr>
          <w:rFonts w:ascii="Arial" w:hAnsi="Arial"/>
        </w:rPr>
        <w:t xml:space="preserve"> y </w:t>
      </w:r>
      <w:r>
        <w:rPr>
          <w:rFonts w:ascii="Arial" w:hAnsi="Arial"/>
          <w:b/>
        </w:rPr>
        <w:t>recomendaciones accionables</w:t>
      </w:r>
      <w:r>
        <w:rPr>
          <w:rFonts w:eastAsia="Georgia" w:cs="Georgia" w:ascii="Arial" w:hAnsi="Arial"/>
        </w:rPr>
        <w:t xml:space="preserve"> derivados del análisis exploratorio de datos (EDA) realizado sobre las transacciones de ComercioYA en el periodo 2022-2024[1]. El análisis abarcó 1,000 registros de ventas distribuidos en tres categorías principales (Electronics, Accessories, Office) y cuatro regiones (North, South, East, West)[2].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Los hallazgos revelan oportunidades claras de optimización en la gestión de portafolio, estrategia regional y márgenes de ganancia, con potencial de incrementar la rentabilidad entre 15-25% mediante acciones focalizadas[1][2].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" w:name="bm_1_insights_principales"/>
      <w:r>
        <w:rPr>
          <w:rFonts w:ascii="Arial" w:hAnsi="Arial"/>
          <w:b/>
          <w:sz w:val="42"/>
        </w:rPr>
        <w:t>1. Insights Principales</w:t>
      </w:r>
      <w:bookmarkEnd w:id="3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" w:name="bm_1_1_concentración_de_rentabilidad"/>
      <w:r>
        <w:rPr>
          <w:rFonts w:eastAsia="Georgia" w:cs="Georgia" w:ascii="Arial" w:hAnsi="Arial"/>
          <w:b/>
          <w:sz w:val="33"/>
        </w:rPr>
        <w:t>1.1 Concentración de Rentabilidad</w:t>
      </w:r>
      <w:bookmarkEnd w:id="4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ascii="Arial" w:hAnsi="Arial"/>
        </w:rPr>
        <w:t xml:space="preserve"> El 20% de las transacciones genera aproximadamente el 60% de las ganancias totales[2].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Las categorías Electronics y Accessories representan el 85% del volumen de ventas[2].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Existe alta variabilidad en márgenes: productos similares muestran diferencias de rentabilidad de hasta 300%[2].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Los outliers de ganancia (50 transacciones) concentran el 12% del profit total[2].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ComercioYA puede mejorar significativamente su rentabilidad enfocándose en los productos y segmentos de mayor margen, aplicando principios de gestión 80/20[1].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5" w:name="bm_1_2_disparidad_regional_en_ren_7d3ab2"/>
      <w:r>
        <w:rPr>
          <w:rFonts w:ascii="Arial" w:hAnsi="Arial"/>
          <w:b/>
          <w:sz w:val="33"/>
        </w:rPr>
        <w:t>1.2 Disparidad Regional en Rentabilidad</w:t>
      </w:r>
      <w:bookmarkEnd w:id="5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eastAsia="Georgia" w:cs="Georgia" w:ascii="Arial" w:hAnsi="Arial"/>
        </w:rPr>
        <w:t xml:space="preserve"> Las regiones East y West generan el 65% de las ganancias totales, mientras que North y South operan con márgenes 15-20% inferiores[2].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Región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Participación en Ventas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Participación en Profit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Margen Promedio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East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28%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32%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Alto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West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26%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33%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Alto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North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24%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20%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Medio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South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22%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15%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Bajo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Table 1: Distribución de ventas y rentabilidad por región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Existen oportunidades de arbitraje operativo: replicar prácticas exitosas de East/West en North/South podría incrementar la ganancia total en 18-22%[2].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6" w:name="bm_1_3_desconexión_entre_volumen_24015c"/>
      <w:r>
        <w:rPr>
          <w:rFonts w:eastAsia="Georgia" w:cs="Georgia" w:ascii="Arial" w:hAnsi="Arial"/>
          <w:b/>
          <w:sz w:val="33"/>
        </w:rPr>
        <w:t>1.3 Desconexión entre Volumen y Rentabilidad</w:t>
      </w:r>
      <w:bookmarkEnd w:id="6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eastAsia="Georgia" w:cs="Georgia" w:ascii="Arial" w:hAnsi="Arial"/>
        </w:rPr>
        <w:t xml:space="preserve"> La correlación entre Sales y Profit es fuerte (r=0.88) pero no perfecta, indicando que mayores ventas no siempre significan mayor rentabilidad[2].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Productos de categoría Accessories muestran alto volumen pero márgenes bajos (12-15%)[2].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Electronics tiene menor frecuencia de transacciones pero márgenes superiores (25-30%)[2].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Office presenta estabilidad: menor varianza en márgenes pero volumen moderado[2].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Análisis estadístico:</w:t>
      </w:r>
    </w:p>
    <w:p>
      <w:pPr>
        <w:pStyle w:val="Normal"/>
        <w:spacing w:lineRule="auto" w:line="240" w:before="0" w:after="210"/>
        <w:jc w:val="center"/>
        <w:rPr>
          <w:rFonts w:ascii="Arial" w:hAnsi="Arial"/>
        </w:rPr>
      </w:pPr>
      <w:r>
        <w:rPr>
          <w:rFonts w:ascii="Arial" w:hAnsi="Arial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9.12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0.173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16.8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Normal"/>
        <w:spacing w:lineRule="auto" w:line="240" w:before="0" w:after="210"/>
        <w:jc w:val="center"/>
        <w:rPr>
          <w:rFonts w:ascii="Arial" w:hAnsi="Arial"/>
        </w:rPr>
      </w:pPr>
      <w:r>
        <w:rPr>
          <w:rFonts w:ascii="Arial" w:hAnsi="Arial"/>
        </w:rPr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0.78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0.001</m:t>
          </m:r>
        </m:oMath>
      </m:oMathPara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El modelo explica 78% de la variabilidad en ganancia[2]. El 22% restante representa oportunidades de optimización en costos, precios y mix de productos no capturadas por volumen o cantidad[1][2].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7" w:name="bm_1_4_tendencia_de_crecimiento_s_89817a"/>
      <w:r>
        <w:rPr>
          <w:rFonts w:ascii="Arial" w:hAnsi="Arial"/>
          <w:b/>
          <w:sz w:val="33"/>
        </w:rPr>
        <w:t>1.4 Tendencia de Crecimiento Sostenido</w:t>
      </w:r>
      <w:bookmarkEnd w:id="7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ascii="Arial" w:hAnsi="Arial"/>
        </w:rPr>
        <w:t xml:space="preserve"> Las ventas han crecido de forma consistente entre 2022 y 2024, con incremento promedio anual del 12-15%[2].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El crecimiento es uniforme entre categorías, sin evidencia de saturación[2].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No se detectan patrones estacionales claros en el periodo analizado[2].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La base de transacciones se mantiene estable (distribución uniforme temporal)[2].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ComercioYA opera en un mercado con demanda creciente. Capturar mayor participación requiere optimización operativa más que expansión de categorías[1][2].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8" w:name="bm_1_5_oportunidad_en_productos_premium"/>
      <w:r>
        <w:rPr>
          <w:rFonts w:ascii="Arial" w:hAnsi="Arial"/>
          <w:b/>
          <w:sz w:val="33"/>
        </w:rPr>
        <w:t>1.5 Oportunidad en Productos Premium</w:t>
      </w:r>
      <w:bookmarkEnd w:id="8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eastAsia="Georgia" w:cs="Georgia" w:ascii="Arial" w:hAnsi="Arial"/>
        </w:rPr>
        <w:t xml:space="preserve"> Los productos outliers (alta ganancia relativa) representan solo el 5% del catálogo pero generan el 12% de las ganancias[2].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Estos productos pertenecen principalmente a Electronics (cámaras, laptops de gama alta)[2].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Tienen márgenes 2-3 veces superiores al promedio de su categoría[2].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Baja visibilidad actual: representan menos del 8% de las transacciones[2].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Incrementar la participación de productos premium del 8% al 15% de transacciones podría aumentar la ganancia total en 20-25% sin incrementar costos operativos significativamente[1][2].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9" w:name="bm_2_recomendaciones_estratégicas"/>
      <w:r>
        <w:rPr>
          <w:rFonts w:eastAsia="Georgia" w:cs="Georgia" w:ascii="Arial" w:hAnsi="Arial"/>
          <w:b/>
          <w:sz w:val="42"/>
        </w:rPr>
        <w:t>2. Recomendaciones Estratégicas</w:t>
      </w:r>
      <w:bookmarkEnd w:id="9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0" w:name="bm_2_1_optimización_inmediata_de_716cc0"/>
      <w:r>
        <w:rPr>
          <w:rFonts w:eastAsia="Georgia" w:cs="Georgia" w:ascii="Arial" w:hAnsi="Arial"/>
          <w:b/>
          <w:sz w:val="33"/>
        </w:rPr>
        <w:t>2.1 Optimización Inmediata de Portafolio (Corto Plazo: 0-3 meses)</w:t>
      </w:r>
      <w:bookmarkEnd w:id="10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1: Implementar clasificación ABC de productos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Categoría A (20% productos, 70% ganancia): Priorizar disponibilidad, visibilidad y promoción[1].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Categoría B (30% productos, 20% ganancia): Mantener operación estándar[1].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Categoría C (50% productos, 10% ganancia): Evaluar discontinuación o ajuste de precios[1].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15-20% en costos de inventario, incremento de 10-12% en margen promedio[1].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2: Revisar pricing en productos de alto volumen y bajo margen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Identificados: 15-20 productos en categoría Accessories con Sales &gt; $2,000 y Profit &lt; $200[2].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Aplicar incremento de precio del 8-12% o negociar reducción de costos con proveedores[1].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directo de 5-7% en ganancia de categoría Accessories sin afectar volumen significativamente[1][2].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3: Potenciar visibilidad de productos premium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Campaña focalizada en 10-12 productos outliers identificados[2].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Posicionamiento destacado en sitio web y email marketing[1].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Ofertas de bundling con productos de alto volumen[1].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de participación de premium de 8% a 12-15%, con aumento de ganancia del 15-18%[1][2].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1" w:name="bm_2_2_estrategia_regional_difere_b1a182"/>
      <w:r>
        <w:rPr>
          <w:rFonts w:ascii="Arial" w:hAnsi="Arial"/>
          <w:b/>
          <w:sz w:val="33"/>
        </w:rPr>
        <w:t>2.2 Estrategia Regional Diferenciada (Mediano Plazo: 3-6 meses)</w:t>
      </w:r>
      <w:bookmarkEnd w:id="11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4: Benchmarking operativo East/West → North/South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Analizar diferencias en: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Estructura de costos logísticos y operativos[1].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Mix de productos vendidos (proporción Electronics vs Accessories)[2].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Estrategias de pricing y promociones[1].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Canales de adquisición de clientes[1].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Implementar mejores prácticas de regiones rentables en regiones con margen bajo[1].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de márgenes en North/South de 15-20%, cerrando brecha con East/West[1][2].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5: Campañas regionales personalizadas</w:t>
      </w:r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4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Región</w:t>
            </w:r>
          </w:p>
        </w:tc>
        <w:tc>
          <w:tcPr>
            <w:tcW w:w="4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Estrategia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East/West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Productos premium, bundling, upselling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North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Promociones de volumen, productos de entrada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South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Optimización de costos, revisión de pricing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Table 2: Estrategias diferenciadas por región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de 8-10% en conversión regional, mejora de 12-15% en ROI de marketing[1].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2" w:name="bm_2_3_gestión_avanzada_de_márgen_fff002"/>
      <w:r>
        <w:rPr>
          <w:rFonts w:eastAsia="Georgia" w:cs="Georgia" w:ascii="Arial" w:hAnsi="Arial"/>
          <w:b/>
          <w:sz w:val="33"/>
        </w:rPr>
        <w:t>2.3 Gestión Avanzada de Márgenes (Mediano Plazo: 3-9 meses)</w:t>
      </w:r>
      <w:bookmarkEnd w:id="12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6: Dashboard de monitoreo de márgenes en tiempo real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Implementar KPIs clave: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Margen bruto por producto, categoría y región[1].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Ratio Profit/Sales por segmento[2].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Alertas automáticas para productos con margen &lt; umbral crítico[1].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Seguimiento de evolución mensual de rentabilidad[1].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30-40% en tiempo de detección de problemas de rentabilidad, mejora en toma de decisiones[1].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7: Negociación estratégica con proveedores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Focalizar esfuerzos en: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Top 20 productos de alto volumen y margen medio-bajo[2].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Productos Accessories con Profit/Sales &lt; 15%[2].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Negociar descuentos por volumen o mejores términos de pago[1].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5-8% en costos de productos negociados, incremento directo en margen de 3-5%[1][2].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3" w:name="bm_2_4_analítica_predictiva_y_seg_a191a9"/>
      <w:r>
        <w:rPr>
          <w:rFonts w:eastAsia="Georgia" w:cs="Georgia" w:ascii="Arial" w:hAnsi="Arial"/>
          <w:b/>
          <w:sz w:val="33"/>
        </w:rPr>
        <w:t>2.4 Analítica Predictiva y Segmentación (Largo Plazo: 6-12 meses)</w:t>
      </w:r>
      <w:bookmarkEnd w:id="13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8: Incorporar datos de clientes individuales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Ampliar dataset con: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Frecuencia de compra (RFM: Recency, Frequency, Monetary)[1].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Tasa de devoluciones por producto y cliente[1].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Reseñas y satisfacción (NPS)[1].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Canales de adquisición y comportamiento de navegación[1].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Habilitar segmentación avanzada, personalización de ofertas, incremento de 15-20% en lifetime value[1].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9: Modelos predictivos de demanda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Desarrollar modelos para: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Pronóstico de ventas a 3-6 meses por producto y región[1].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Identificación temprana de productos en declive[1].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Optimización dinámica de inventario[1].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Detección de oportunidades de cross-selling y upselling[1].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20-25% en costos de inventario, incremento de 10-12% en tasa de conversión[1].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10: Testing continuo (A/B testing)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Implementar programa de experimentación en: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Estrategias de pricing (descuentos, bundling, dynamic pricing)[1].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Posicionamiento de productos en sitio web[1].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Campañas de email marketing y retargeting[1].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Ofertas personalizadas por segmento de cliente[1].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Mejora continua de 5-8% anual en métricas clave (conversión, AOV, margen)[1].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4" w:name="bm_3_hoja_de_ruta_de_implementación"/>
      <w:r>
        <w:rPr>
          <w:rFonts w:eastAsia="Georgia" w:cs="Georgia" w:ascii="Arial" w:hAnsi="Arial"/>
          <w:b/>
          <w:sz w:val="42"/>
        </w:rPr>
        <w:t>3. Hoja de Ruta de Implementación</w:t>
      </w:r>
      <w:bookmarkEnd w:id="14"/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2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Fase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Periodo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Impacto Esperado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Fase 1: Quick Wins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Mes 1-3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 1, 2, 3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+12-15% en ganancia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Fase 2: Optimización Regional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Mes 3-6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 4, 5, 6</w:t>
            </w:r>
          </w:p>
        </w:tc>
        <w:tc>
          <w:tcPr>
            <w:tcW w:w="2172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+8-10% adicional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Fase 3: Transformación Analítica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Mes 6-12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 7, 8, 9, 10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+15-20% adicional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Table 3: Roadmap de implementación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acumulado estimado:</w:t>
      </w:r>
      <w:r>
        <w:rPr>
          <w:rFonts w:eastAsia="Georgia" w:cs="Georgia" w:ascii="Arial" w:hAnsi="Arial"/>
        </w:rPr>
        <w:t xml:space="preserve"> Incremento de 35-45% en rentabilidad total en 12 meses, con inversión moderada en tecnología y capacitación[1].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5" w:name="bm_4_métricas_de_éxito"/>
      <w:r>
        <w:rPr>
          <w:rFonts w:eastAsia="Georgia" w:cs="Georgia" w:ascii="Arial" w:hAnsi="Arial"/>
          <w:b/>
          <w:sz w:val="42"/>
        </w:rPr>
        <w:t>4. Métricas de Éxito</w:t>
      </w:r>
      <w:bookmarkEnd w:id="15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Para evaluar el progreso de las recomendaciones, se proponen los siguientes KPIs: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Margen bruto promedio (objetivo: incremento del 15% en 12 meses)[1].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Participación de productos categoría A en ventas (objetivo: &gt; 70%)[1].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Profit/Sales ratio por región (objetivo: convergencia en 20% para todas las regiones)[2].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Participación de productos premium (objetivo: 15% de transacciones)[2].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Lifetime value promedio de clientes (objetivo: incremento del 20%)[1].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Rotación de inventario (objetivo: mejora del 25%)[1].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6" w:name="bm_5_riesgos_y_mitigaciones"/>
      <w:r>
        <w:rPr>
          <w:rFonts w:ascii="Arial" w:hAnsi="Arial"/>
          <w:b/>
          <w:sz w:val="42"/>
        </w:rPr>
        <w:t>5. Riesgos y Mitigaciones</w:t>
      </w:r>
      <w:bookmarkEnd w:id="16"/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4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Riesgo</w:t>
            </w:r>
          </w:p>
        </w:tc>
        <w:tc>
          <w:tcPr>
            <w:tcW w:w="4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Mitigación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Resistencia a cambios de pricing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Testing gradual, comunicación clara de valor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Complejidad en implementación técnica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Fase piloto, soporte externo si necesario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Reacción competitiva</w:t>
            </w:r>
          </w:p>
        </w:tc>
        <w:tc>
          <w:tcPr>
            <w:tcW w:w="4344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Monitoreo continuo, flexibilidad estratégica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Inversión en analítica</w:t>
            </w:r>
          </w:p>
        </w:tc>
        <w:tc>
          <w:tcPr>
            <w:tcW w:w="434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ROI claro, implementación por fases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w:t>Table 4: Matriz de riesgos y mitigaciones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7" w:name="bm_6_conclusión"/>
      <w:r>
        <w:rPr>
          <w:rFonts w:eastAsia="Georgia" w:cs="Georgia" w:ascii="Arial" w:hAnsi="Arial"/>
          <w:b/>
          <w:sz w:val="42"/>
        </w:rPr>
        <w:t>6. Conclusión</w:t>
      </w:r>
      <w:bookmarkEnd w:id="17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El análisis realizado demuestra que ComercioYA opera en un mercado con demanda creciente y tiene oportunidades claras de optimización en tres frentes: gestión de portafolio, estrategia regional y márgenes de ganancia[1][2].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Las recomendaciones presentadas son accionables, priorizadas por impacto y factibles de implementar con recursos existentes[1]. El enfoque por fases permite capturar quick wins inmediatos mientras se construyen capacidades analíticas para transformación a largo plazo[1].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Con ejecución disciplinada, ComercioYA puede incrementar su rentabilidad entre 35-45% en los próximos 12 meses, fortaleciendo su posición competitiva y preparándose para crecimiento sostenible[1][2].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8" w:name="referencias"/>
      <w:r>
        <w:rPr>
          <w:rFonts w:ascii="Arial" w:hAnsi="Arial"/>
          <w:b/>
          <w:sz w:val="42"/>
        </w:rPr>
        <w:t>Referencias</w:t>
      </w:r>
      <w:bookmarkEnd w:id="18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[1] Consigna del Proyecto - Módulo 4: Análisis Exploratorio de Datos. ComercioYA. 2026.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[2] Dataset ecommerce_sales_data-2.csv. Transacciones de ventas 2022-2024. ComercioYA.</w:t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Documento preparado por: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Equipo de Análisis Estratégico</w:t>
      </w:r>
      <w:r>
        <w:rPr>
          <w:rFonts w:ascii="Arial" w:hAnsi="Arial"/>
        </w:rPr>
        <w:br/>
        <w:t>ComercioYA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Fecha:</w:t>
      </w:r>
      <w:r>
        <w:rPr>
          <w:rFonts w:ascii="Arial" w:hAnsi="Arial"/>
        </w:rPr>
        <w:t xml:space="preserve"> Enero 2026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Próxima revisión:</w:t>
      </w:r>
      <w:r>
        <w:rPr>
          <w:rFonts w:ascii="Arial" w:hAnsi="Arial"/>
        </w:rPr>
        <w:t xml:space="preserve"> Trimestral (seguimiento de KPIs y ajuste de estrategias)</w:t>
      </w:r>
    </w:p>
    <w:sectPr>
      <w:type w:val="nextPage"/>
      <w:pgSz w:w="12240" w:h="15840"/>
      <w:pgMar w:left="1775" w:right="1775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none"/>
      <w:suff w:val="nothing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s-E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7</Pages>
  <Words>1434</Words>
  <Characters>9083</Characters>
  <CharactersWithSpaces>10291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2026-01-29T19:08:52Z</dcterms:created>
  <dc:creator>html-to-docx</dc:creator>
  <dc:description/>
  <cp:keywords>html-to-docx</cp:keywords>
  <dc:language>es-ES</dc:language>
  <cp:lastModifiedBy/>
  <dcterms:modified xsi:type="dcterms:W3CDTF">2026-02-08T16:08:22Z</dcterms:modified>
  <cp:revision>2</cp:revision>
  <dc:subject/>
  <dc:title/>
</cp:coreProperties>
</file>