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 Third Cross-Country Federated Training Report</w:t>
      </w:r>
    </w:p>
    <w:p>
      <w:r>
        <w:rPr>
          <w:b/>
        </w:rPr>
        <w:t>Reporting date:</w:t>
      </w:r>
      <w:r>
        <w:t xml:space="preserve"> 31 August 2026</w:t>
      </w:r>
    </w:p>
    <w:p>
      <w:r>
        <w:rPr>
          <w:b/>
        </w:rPr>
        <w:t>Scope:</w:t>
      </w:r>
      <w:r>
        <w:t xml:space="preserve"> Australia–India federated fine-tuning of OLMo 2 7B, including the peer-disconnection event, local loss and data progress, merge history, and GlobalOpinionQA evaluation</w:t>
      </w:r>
    </w:p>
    <w:p>
      <w:pPr>
        <w:pStyle w:val="Heading1"/>
      </w:pPr>
      <w:r>
        <w:t>Summary</w:t>
      </w:r>
    </w:p>
    <w:p>
      <w:r>
        <w:t>This run completed all 16 configured federated rounds on the Australian observer. The two sites were connected during Rounds 1–7, and four distinct Indian model updates were received. The Indian peer left the gossip mesh at 00:15:44 local time, shortly after the Australian Round 7 training and D4 merge had completed. Rounds 8–16 then continued locally while Slakshna repeatedly loaded the last available Indian update, D4. Round 7 is therefore the last checkpoint that represents an active two-site federation; later checkpoints are useful for studying post-disconnection drift but should not be presented as fresh cross-country aggregation.</w:t>
      </w:r>
    </w:p>
    <w:p>
      <w:r>
        <w:t>The updated training path preserved the data cursor across federated rounds. Five data epochs were completed over Rounds 1–15, and Round 16 processed 39.5% of the sixth pass. Local mean loss declined from 3.1267 in Round 1 to 1.5096 in Round 16. On GlobalOpinionQA, the primary equal two-region Jensen–Shannon distance improved from 0.406107 for the base model to 0.350638 at Round 7, a 13.66% relative reduction. Round 16 reached 0.343434 overall, but its gain after Round 7 came from further Australia/New Zealand improvement while the India metric slightly regressed.</w:t>
      </w:r>
    </w:p>
    <w:p>
      <w:pPr>
        <w:pStyle w:val="Heading1"/>
      </w:pPr>
      <w:r>
        <w:t>Experimental setting</w:t>
      </w:r>
    </w:p>
    <w:p>
      <w:r>
        <w:t xml:space="preserve">The run used Slakshna revision </w:t>
      </w:r>
      <w:r>
        <w:rPr>
          <w:rFonts w:ascii="Courier New" w:hAnsi="Courier New"/>
          <w:color w:val="2D2D2D"/>
          <w:sz w:val="18"/>
        </w:rPr>
        <w:t>73602b8</w:t>
      </w:r>
      <w:r>
        <w:t xml:space="preserve"> and Bhaskera revision </w:t>
      </w:r>
      <w:r>
        <w:rPr>
          <w:rFonts w:ascii="Courier New" w:hAnsi="Courier New"/>
          <w:color w:val="2D2D2D"/>
          <w:sz w:val="18"/>
        </w:rPr>
        <w:t>75a2698</w:t>
      </w:r>
      <w:r>
        <w:t xml:space="preserve"> from the </w:t>
      </w:r>
      <w:r>
        <w:rPr>
          <w:rFonts w:ascii="Courier New" w:hAnsi="Courier New"/>
          <w:color w:val="2D2D2D"/>
          <w:sz w:val="18"/>
        </w:rPr>
        <w:t>Slakshna</w:t>
      </w:r>
      <w:r>
        <w:t xml:space="preserve"> branch. Each federated round launched a two-worker FSDP Bhaskera job. The Australian site trained on the packed Australia/New Zealand M0 view; the Indian site managed its own data and runtime independently.</w:t>
      </w:r>
    </w:p>
    <w:tbl>
      <w:tblPr>
        <w:tblStyle w:val="TableGrid"/>
        <w:tblW w:type="auto" w:w="0"/>
        <w:tblLayout w:type="autofit"/>
        <w:tblLook w:firstColumn="1" w:firstRow="1" w:lastColumn="0" w:lastRow="0" w:noHBand="0" w:noVBand="1" w:val="04A0"/>
      </w:tblPr>
      <w:tblGrid>
        <w:gridCol w:w="5083"/>
        <w:gridCol w:w="5083"/>
      </w:tblGrid>
      <w:tr>
        <w:tc>
          <w:tcPr>
            <w:tcW w:type="dxa" w:w="5083"/>
            <w:vAlign w:val="center"/>
            <w:shd w:fill="D9EAF7"/>
          </w:tcPr>
          <w:p>
            <w:pPr>
              <w:spacing w:after="0" w:before="0"/>
            </w:pPr>
            <w:r>
              <w:rPr>
                <w:b/>
                <w:sz w:val="17"/>
              </w:rPr>
            </w:r>
            <w:r>
              <w:rPr>
                <w:b/>
                <w:sz w:val="17"/>
              </w:rPr>
              <w:t>Item</w:t>
            </w:r>
          </w:p>
        </w:tc>
        <w:tc>
          <w:tcPr>
            <w:tcW w:type="dxa" w:w="5083"/>
            <w:vAlign w:val="center"/>
            <w:shd w:fill="D9EAF7"/>
          </w:tcPr>
          <w:p>
            <w:pPr>
              <w:spacing w:after="0" w:before="0"/>
            </w:pPr>
            <w:r>
              <w:rPr>
                <w:b/>
                <w:sz w:val="17"/>
              </w:rPr>
            </w:r>
            <w:r>
              <w:rPr>
                <w:b/>
                <w:sz w:val="17"/>
              </w:rPr>
              <w:t>Australian-site setting</w:t>
            </w:r>
          </w:p>
        </w:tc>
      </w:tr>
      <w:tr>
        <w:tc>
          <w:tcPr>
            <w:tcW w:type="dxa" w:w="5083"/>
            <w:vAlign w:val="center"/>
          </w:tcPr>
          <w:p>
            <w:pPr>
              <w:spacing w:after="0" w:before="0"/>
            </w:pPr>
            <w:r>
              <w:rPr>
                <w:sz w:val="17"/>
              </w:rPr>
            </w:r>
            <w:r>
              <w:rPr>
                <w:sz w:val="17"/>
              </w:rPr>
              <w:t>Base model</w:t>
            </w:r>
          </w:p>
        </w:tc>
        <w:tc>
          <w:tcPr>
            <w:tcW w:type="dxa" w:w="5083"/>
            <w:vAlign w:val="center"/>
          </w:tcPr>
          <w:p>
            <w:pPr>
              <w:spacing w:after="0" w:before="0"/>
            </w:pPr>
            <w:r>
              <w:rPr>
                <w:sz w:val="17"/>
              </w:rPr>
            </w:r>
            <w:r>
              <w:rPr>
                <w:rFonts w:ascii="Courier New" w:hAnsi="Courier New"/>
                <w:color w:val="2D2D2D"/>
                <w:sz w:val="17"/>
              </w:rPr>
              <w:t>allenai/OLMo-2-1124-7B</w:t>
            </w:r>
          </w:p>
        </w:tc>
      </w:tr>
      <w:tr>
        <w:tc>
          <w:tcPr>
            <w:tcW w:type="dxa" w:w="5083"/>
            <w:vAlign w:val="center"/>
          </w:tcPr>
          <w:p>
            <w:pPr>
              <w:spacing w:after="0" w:before="0"/>
            </w:pPr>
            <w:r>
              <w:rPr>
                <w:sz w:val="17"/>
              </w:rPr>
            </w:r>
            <w:r>
              <w:rPr>
                <w:sz w:val="17"/>
              </w:rPr>
              <w:t>Tokenizer / chat template</w:t>
            </w:r>
          </w:p>
        </w:tc>
        <w:tc>
          <w:tcPr>
            <w:tcW w:type="dxa" w:w="5083"/>
            <w:vAlign w:val="center"/>
          </w:tcPr>
          <w:p>
            <w:pPr>
              <w:spacing w:after="0" w:before="0"/>
            </w:pPr>
            <w:r>
              <w:rPr>
                <w:sz w:val="17"/>
              </w:rPr>
            </w:r>
            <w:r>
              <w:rPr>
                <w:rFonts w:ascii="Courier New" w:hAnsi="Courier New"/>
                <w:color w:val="2D2D2D"/>
                <w:sz w:val="17"/>
              </w:rPr>
              <w:t>allenai/OLMo-2-1124-7B-Instruct</w:t>
            </w:r>
          </w:p>
        </w:tc>
      </w:tr>
      <w:tr>
        <w:tc>
          <w:tcPr>
            <w:tcW w:type="dxa" w:w="5083"/>
            <w:vAlign w:val="center"/>
          </w:tcPr>
          <w:p>
            <w:pPr>
              <w:spacing w:after="0" w:before="0"/>
            </w:pPr>
            <w:r>
              <w:rPr>
                <w:sz w:val="17"/>
              </w:rPr>
            </w:r>
            <w:r>
              <w:rPr>
                <w:sz w:val="17"/>
              </w:rPr>
              <w:t>Adaptation</w:t>
            </w:r>
          </w:p>
        </w:tc>
        <w:tc>
          <w:tcPr>
            <w:tcW w:type="dxa" w:w="5083"/>
            <w:vAlign w:val="center"/>
          </w:tcPr>
          <w:p>
            <w:pPr>
              <w:spacing w:after="0" w:before="0"/>
            </w:pPr>
            <w:r>
              <w:rPr>
                <w:sz w:val="17"/>
              </w:rPr>
            </w:r>
            <w:r>
              <w:rPr>
                <w:sz w:val="17"/>
              </w:rPr>
              <w:t xml:space="preserve">LoRA on </w:t>
            </w:r>
            <w:r>
              <w:rPr>
                <w:rFonts w:ascii="Courier New" w:hAnsi="Courier New"/>
                <w:color w:val="2D2D2D"/>
                <w:sz w:val="17"/>
              </w:rPr>
              <w:t>q_proj</w:t>
            </w:r>
            <w:r>
              <w:rPr>
                <w:sz w:val="17"/>
              </w:rPr>
              <w:t xml:space="preserve"> and </w:t>
            </w:r>
            <w:r>
              <w:rPr>
                <w:rFonts w:ascii="Courier New" w:hAnsi="Courier New"/>
                <w:color w:val="2D2D2D"/>
                <w:sz w:val="17"/>
              </w:rPr>
              <w:t>v_proj</w:t>
            </w:r>
          </w:p>
        </w:tc>
      </w:tr>
      <w:tr>
        <w:tc>
          <w:tcPr>
            <w:tcW w:type="dxa" w:w="5083"/>
            <w:vAlign w:val="center"/>
          </w:tcPr>
          <w:p>
            <w:pPr>
              <w:spacing w:after="0" w:before="0"/>
            </w:pPr>
            <w:r>
              <w:rPr>
                <w:sz w:val="17"/>
              </w:rPr>
            </w:r>
            <w:r>
              <w:rPr>
                <w:sz w:val="17"/>
              </w:rPr>
              <w:t>LoRA rank / alpha / dropout</w:t>
            </w:r>
          </w:p>
        </w:tc>
        <w:tc>
          <w:tcPr>
            <w:tcW w:type="dxa" w:w="5083"/>
            <w:vAlign w:val="center"/>
          </w:tcPr>
          <w:p>
            <w:pPr>
              <w:spacing w:after="0" w:before="0"/>
            </w:pPr>
            <w:r>
              <w:rPr>
                <w:sz w:val="17"/>
              </w:rPr>
            </w:r>
            <w:r>
              <w:rPr>
                <w:sz w:val="17"/>
              </w:rPr>
              <w:t>16 / 64 / 0.03</w:t>
            </w:r>
          </w:p>
        </w:tc>
      </w:tr>
      <w:tr>
        <w:tc>
          <w:tcPr>
            <w:tcW w:type="dxa" w:w="5083"/>
            <w:vAlign w:val="center"/>
          </w:tcPr>
          <w:p>
            <w:pPr>
              <w:spacing w:after="0" w:before="0"/>
            </w:pPr>
            <w:r>
              <w:rPr>
                <w:sz w:val="17"/>
              </w:rPr>
            </w:r>
            <w:r>
              <w:rPr>
                <w:sz w:val="17"/>
              </w:rPr>
              <w:t>Precision / distributed strategy</w:t>
            </w:r>
          </w:p>
        </w:tc>
        <w:tc>
          <w:tcPr>
            <w:tcW w:type="dxa" w:w="5083"/>
            <w:vAlign w:val="center"/>
          </w:tcPr>
          <w:p>
            <w:pPr>
              <w:spacing w:after="0" w:before="0"/>
            </w:pPr>
            <w:r>
              <w:rPr>
                <w:sz w:val="17"/>
              </w:rPr>
            </w:r>
            <w:r>
              <w:rPr>
                <w:sz w:val="17"/>
              </w:rPr>
              <w:t>BF16 / two-worker FSDP</w:t>
            </w:r>
          </w:p>
        </w:tc>
      </w:tr>
      <w:tr>
        <w:tc>
          <w:tcPr>
            <w:tcW w:type="dxa" w:w="5083"/>
            <w:vAlign w:val="center"/>
          </w:tcPr>
          <w:p>
            <w:pPr>
              <w:spacing w:after="0" w:before="0"/>
            </w:pPr>
            <w:r>
              <w:rPr>
                <w:sz w:val="17"/>
              </w:rPr>
            </w:r>
            <w:r>
              <w:rPr>
                <w:sz w:val="17"/>
              </w:rPr>
              <w:t>Optimizer</w:t>
            </w:r>
          </w:p>
        </w:tc>
        <w:tc>
          <w:tcPr>
            <w:tcW w:type="dxa" w:w="5083"/>
            <w:vAlign w:val="center"/>
          </w:tcPr>
          <w:p>
            <w:pPr>
              <w:spacing w:after="0" w:before="0"/>
            </w:pPr>
            <w:r>
              <w:rPr>
                <w:sz w:val="17"/>
              </w:rPr>
            </w:r>
            <w:r>
              <w:rPr>
                <w:sz w:val="17"/>
              </w:rPr>
              <w:t>8-bit Muon</w:t>
            </w:r>
          </w:p>
        </w:tc>
      </w:tr>
      <w:tr>
        <w:tc>
          <w:tcPr>
            <w:tcW w:type="dxa" w:w="5083"/>
            <w:vAlign w:val="center"/>
          </w:tcPr>
          <w:p>
            <w:pPr>
              <w:spacing w:after="0" w:before="0"/>
            </w:pPr>
            <w:r>
              <w:rPr>
                <w:sz w:val="17"/>
              </w:rPr>
            </w:r>
            <w:r>
              <w:rPr>
                <w:sz w:val="17"/>
              </w:rPr>
              <w:t>Learning rate / warmup</w:t>
            </w:r>
          </w:p>
        </w:tc>
        <w:tc>
          <w:tcPr>
            <w:tcW w:type="dxa" w:w="5083"/>
            <w:vAlign w:val="center"/>
          </w:tcPr>
          <w:p>
            <w:pPr>
              <w:spacing w:after="0" w:before="0"/>
            </w:pPr>
            <w:r>
              <w:rPr>
                <w:sz w:val="17"/>
              </w:rPr>
            </w:r>
            <w:r>
              <w:rPr>
                <w:rFonts w:ascii="Courier New" w:hAnsi="Courier New"/>
                <w:color w:val="2D2D2D"/>
                <w:sz w:val="17"/>
              </w:rPr>
              <w:t>3e-4</w:t>
            </w:r>
            <w:r>
              <w:rPr>
                <w:sz w:val="17"/>
              </w:rPr>
              <w:t xml:space="preserve"> / 0 steps</w:t>
            </w:r>
          </w:p>
        </w:tc>
      </w:tr>
      <w:tr>
        <w:tc>
          <w:tcPr>
            <w:tcW w:type="dxa" w:w="5083"/>
            <w:vAlign w:val="center"/>
          </w:tcPr>
          <w:p>
            <w:pPr>
              <w:spacing w:after="0" w:before="0"/>
            </w:pPr>
            <w:r>
              <w:rPr>
                <w:sz w:val="17"/>
              </w:rPr>
            </w:r>
            <w:r>
              <w:rPr>
                <w:sz w:val="17"/>
              </w:rPr>
              <w:t>Per-worker batch / gradient accumulation</w:t>
            </w:r>
          </w:p>
        </w:tc>
        <w:tc>
          <w:tcPr>
            <w:tcW w:type="dxa" w:w="5083"/>
            <w:vAlign w:val="center"/>
          </w:tcPr>
          <w:p>
            <w:pPr>
              <w:spacing w:after="0" w:before="0"/>
            </w:pPr>
            <w:r>
              <w:rPr>
                <w:sz w:val="17"/>
              </w:rPr>
            </w:r>
            <w:r>
              <w:rPr>
                <w:sz w:val="17"/>
              </w:rPr>
              <w:t>8 / 4</w:t>
            </w:r>
          </w:p>
        </w:tc>
      </w:tr>
      <w:tr>
        <w:tc>
          <w:tcPr>
            <w:tcW w:type="dxa" w:w="5083"/>
            <w:vAlign w:val="center"/>
          </w:tcPr>
          <w:p>
            <w:pPr>
              <w:spacing w:after="0" w:before="0"/>
            </w:pPr>
            <w:r>
              <w:rPr>
                <w:sz w:val="17"/>
              </w:rPr>
            </w:r>
            <w:r>
              <w:rPr>
                <w:sz w:val="17"/>
              </w:rPr>
              <w:t>Site-effective batch</w:t>
            </w:r>
          </w:p>
        </w:tc>
        <w:tc>
          <w:tcPr>
            <w:tcW w:type="dxa" w:w="5083"/>
            <w:vAlign w:val="center"/>
          </w:tcPr>
          <w:p>
            <w:pPr>
              <w:spacing w:after="0" w:before="0"/>
            </w:pPr>
            <w:r>
              <w:rPr>
                <w:sz w:val="17"/>
              </w:rPr>
            </w:r>
            <w:r>
              <w:rPr>
                <w:sz w:val="17"/>
              </w:rPr>
              <w:t>64 packed sequences per optimizer step</w:t>
            </w:r>
          </w:p>
        </w:tc>
      </w:tr>
      <w:tr>
        <w:tc>
          <w:tcPr>
            <w:tcW w:type="dxa" w:w="5083"/>
            <w:vAlign w:val="center"/>
          </w:tcPr>
          <w:p>
            <w:pPr>
              <w:spacing w:after="0" w:before="0"/>
            </w:pPr>
            <w:r>
              <w:rPr>
                <w:sz w:val="17"/>
              </w:rPr>
            </w:r>
            <w:r>
              <w:rPr>
                <w:sz w:val="17"/>
              </w:rPr>
              <w:t>Maximum local steps per FL round</w:t>
            </w:r>
          </w:p>
        </w:tc>
        <w:tc>
          <w:tcPr>
            <w:tcW w:type="dxa" w:w="5083"/>
            <w:vAlign w:val="center"/>
          </w:tcPr>
          <w:p>
            <w:pPr>
              <w:spacing w:after="0" w:before="0"/>
            </w:pPr>
            <w:r>
              <w:rPr>
                <w:sz w:val="17"/>
              </w:rPr>
            </w:r>
            <w:r>
              <w:rPr>
                <w:sz w:val="17"/>
              </w:rPr>
              <w:t>9</w:t>
            </w:r>
          </w:p>
        </w:tc>
      </w:tr>
      <w:tr>
        <w:tc>
          <w:tcPr>
            <w:tcW w:type="dxa" w:w="5083"/>
            <w:vAlign w:val="center"/>
          </w:tcPr>
          <w:p>
            <w:pPr>
              <w:spacing w:after="0" w:before="0"/>
            </w:pPr>
            <w:r>
              <w:rPr>
                <w:sz w:val="17"/>
              </w:rPr>
            </w:r>
            <w:r>
              <w:rPr>
                <w:sz w:val="17"/>
              </w:rPr>
              <w:t>Sequence length / packing</w:t>
            </w:r>
          </w:p>
        </w:tc>
        <w:tc>
          <w:tcPr>
            <w:tcW w:type="dxa" w:w="5083"/>
            <w:vAlign w:val="center"/>
          </w:tcPr>
          <w:p>
            <w:pPr>
              <w:spacing w:after="0" w:before="0"/>
            </w:pPr>
            <w:r>
              <w:rPr>
                <w:sz w:val="17"/>
              </w:rPr>
            </w:r>
            <w:r>
              <w:rPr>
                <w:sz w:val="17"/>
              </w:rPr>
              <w:t>2,048 / enabled</w:t>
            </w:r>
          </w:p>
        </w:tc>
      </w:tr>
      <w:tr>
        <w:tc>
          <w:tcPr>
            <w:tcW w:type="dxa" w:w="5083"/>
            <w:vAlign w:val="center"/>
          </w:tcPr>
          <w:p>
            <w:pPr>
              <w:spacing w:after="0" w:before="0"/>
            </w:pPr>
            <w:r>
              <w:rPr>
                <w:sz w:val="17"/>
              </w:rPr>
            </w:r>
            <w:r>
              <w:rPr>
                <w:sz w:val="17"/>
              </w:rPr>
              <w:t>Packed Australian dataset</w:t>
            </w:r>
          </w:p>
        </w:tc>
        <w:tc>
          <w:tcPr>
            <w:tcW w:type="dxa" w:w="5083"/>
            <w:vAlign w:val="center"/>
          </w:tcPr>
          <w:p>
            <w:pPr>
              <w:spacing w:after="0" w:before="0"/>
            </w:pPr>
            <w:r>
              <w:rPr>
                <w:sz w:val="17"/>
              </w:rPr>
            </w:r>
            <w:r>
              <w:rPr>
                <w:sz w:val="17"/>
              </w:rPr>
              <w:t>1,458 sequences</w:t>
            </w:r>
          </w:p>
        </w:tc>
      </w:tr>
      <w:tr>
        <w:tc>
          <w:tcPr>
            <w:tcW w:type="dxa" w:w="5083"/>
            <w:vAlign w:val="center"/>
          </w:tcPr>
          <w:p>
            <w:pPr>
              <w:spacing w:after="0" w:before="0"/>
            </w:pPr>
            <w:r>
              <w:rPr>
                <w:sz w:val="17"/>
              </w:rPr>
            </w:r>
            <w:r>
              <w:rPr>
                <w:sz w:val="17"/>
              </w:rPr>
              <w:t>Training labels</w:t>
            </w:r>
          </w:p>
        </w:tc>
        <w:tc>
          <w:tcPr>
            <w:tcW w:type="dxa" w:w="5083"/>
            <w:vAlign w:val="center"/>
          </w:tcPr>
          <w:p>
            <w:pPr>
              <w:spacing w:after="0" w:before="0"/>
            </w:pPr>
            <w:r>
              <w:rPr>
                <w:sz w:val="17"/>
              </w:rPr>
            </w:r>
            <w:r>
              <w:rPr>
                <w:sz w:val="17"/>
              </w:rPr>
              <w:t>Assistant responses only</w:t>
            </w:r>
          </w:p>
        </w:tc>
      </w:tr>
      <w:tr>
        <w:tc>
          <w:tcPr>
            <w:tcW w:type="dxa" w:w="5083"/>
            <w:vAlign w:val="center"/>
          </w:tcPr>
          <w:p>
            <w:pPr>
              <w:spacing w:after="0" w:before="0"/>
            </w:pPr>
            <w:r>
              <w:rPr>
                <w:sz w:val="17"/>
              </w:rPr>
            </w:r>
            <w:r>
              <w:rPr>
                <w:sz w:val="17"/>
              </w:rPr>
              <w:t>Federation clock / sync deadline</w:t>
            </w:r>
          </w:p>
        </w:tc>
        <w:tc>
          <w:tcPr>
            <w:tcW w:type="dxa" w:w="5083"/>
            <w:vAlign w:val="center"/>
          </w:tcPr>
          <w:p>
            <w:pPr>
              <w:spacing w:after="0" w:before="0"/>
            </w:pPr>
            <w:r>
              <w:rPr>
                <w:sz w:val="17"/>
              </w:rPr>
            </w:r>
            <w:r>
              <w:rPr>
                <w:sz w:val="17"/>
              </w:rPr>
              <w:t>300 s / 300 s</w:t>
            </w:r>
          </w:p>
        </w:tc>
      </w:tr>
      <w:tr>
        <w:tc>
          <w:tcPr>
            <w:tcW w:type="dxa" w:w="5083"/>
            <w:vAlign w:val="center"/>
          </w:tcPr>
          <w:p>
            <w:pPr>
              <w:spacing w:after="0" w:before="0"/>
            </w:pPr>
            <w:r>
              <w:rPr>
                <w:sz w:val="17"/>
              </w:rPr>
            </w:r>
            <w:r>
              <w:rPr>
                <w:sz w:val="17"/>
              </w:rPr>
              <w:t>Configured federated rounds</w:t>
            </w:r>
          </w:p>
        </w:tc>
        <w:tc>
          <w:tcPr>
            <w:tcW w:type="dxa" w:w="5083"/>
            <w:vAlign w:val="center"/>
          </w:tcPr>
          <w:p>
            <w:pPr>
              <w:spacing w:after="0" w:before="0"/>
            </w:pPr>
            <w:r>
              <w:rPr>
                <w:sz w:val="17"/>
              </w:rPr>
            </w:r>
            <w:r>
              <w:rPr>
                <w:sz w:val="17"/>
              </w:rPr>
              <w:t>16</w:t>
            </w:r>
          </w:p>
        </w:tc>
      </w:tr>
      <w:tr>
        <w:tc>
          <w:tcPr>
            <w:tcW w:type="dxa" w:w="5083"/>
            <w:vAlign w:val="center"/>
          </w:tcPr>
          <w:p>
            <w:pPr>
              <w:spacing w:after="0" w:before="0"/>
            </w:pPr>
            <w:r>
              <w:rPr>
                <w:sz w:val="17"/>
              </w:rPr>
            </w:r>
            <w:r>
              <w:rPr>
                <w:sz w:val="17"/>
              </w:rPr>
              <w:t>Delta transport</w:t>
            </w:r>
          </w:p>
        </w:tc>
        <w:tc>
          <w:tcPr>
            <w:tcW w:type="dxa" w:w="5083"/>
            <w:vAlign w:val="center"/>
          </w:tcPr>
          <w:p>
            <w:pPr>
              <w:spacing w:after="0" w:before="0"/>
            </w:pPr>
            <w:r>
              <w:rPr>
                <w:sz w:val="17"/>
              </w:rPr>
            </w:r>
            <w:r>
              <w:rPr>
                <w:sz w:val="17"/>
              </w:rPr>
              <w:t>Top-10% sparsity, symmetric INT8</w:t>
            </w:r>
          </w:p>
        </w:tc>
      </w:tr>
      <w:tr>
        <w:tc>
          <w:tcPr>
            <w:tcW w:type="dxa" w:w="5083"/>
            <w:vAlign w:val="center"/>
          </w:tcPr>
          <w:p>
            <w:pPr>
              <w:spacing w:after="0" w:before="0"/>
            </w:pPr>
            <w:r>
              <w:rPr>
                <w:sz w:val="17"/>
              </w:rPr>
            </w:r>
            <w:r>
              <w:rPr>
                <w:sz w:val="17"/>
              </w:rPr>
              <w:t>Typical encoded model update</w:t>
            </w:r>
          </w:p>
        </w:tc>
        <w:tc>
          <w:tcPr>
            <w:tcW w:type="dxa" w:w="5083"/>
            <w:vAlign w:val="center"/>
          </w:tcPr>
          <w:p>
            <w:pPr>
              <w:spacing w:after="0" w:before="0"/>
            </w:pPr>
            <w:r>
              <w:rPr>
                <w:sz w:val="17"/>
              </w:rPr>
            </w:r>
            <w:r>
              <w:rPr>
                <w:sz w:val="17"/>
              </w:rPr>
              <w:t>Approximately 5.43 MiB</w:t>
            </w:r>
          </w:p>
        </w:tc>
      </w:tr>
    </w:tbl>
    <w:p>
      <w:pPr>
        <w:spacing w:after="0"/>
      </w:pPr>
    </w:p>
    <w:p>
      <w:r>
        <w:t>The Australian process started at 23:07:23 on 30 August and shut down normally after reaching Round 16 at 01:46:28 on 31 August. Total observer-side wall time was approximately 2 hours 39 minutes.</w:t>
      </w:r>
    </w:p>
    <w:p>
      <w:pPr>
        <w:pStyle w:val="Heading1"/>
      </w:pPr>
      <w:r>
        <w:t>Training, merge, and data-epoch record</w:t>
      </w:r>
    </w:p>
    <w:p>
      <w:r>
        <w:t>Figure 1 was produced from the external Slakshna observation tool. The top panel concatenates optimizer-step losses while retaining FL-round and data-epoch boundaries. The middle panel summarizes start, mean, and end loss for each round. The bottom panel records the peer delta loaded by each round.</w:t>
      </w:r>
    </w:p>
    <w:p>
      <w:pPr>
        <w:jc w:val="center"/>
      </w:pPr>
      <w:r>
        <w:drawing>
          <wp:inline xmlns:a="http://schemas.openxmlformats.org/drawingml/2006/main" xmlns:pic="http://schemas.openxmlformats.org/drawingml/2006/picture">
            <wp:extent cx="6263640" cy="4708744"/>
            <wp:docPr id="1" name="Picture 1"/>
            <wp:cNvGraphicFramePr>
              <a:graphicFrameLocks noChangeAspect="1"/>
            </wp:cNvGraphicFramePr>
            <a:graphic>
              <a:graphicData uri="http://schemas.openxmlformats.org/drawingml/2006/picture">
                <pic:pic>
                  <pic:nvPicPr>
                    <pic:cNvPr id="0" name="training_loss_merge_and_data_epochs.png"/>
                    <pic:cNvPicPr/>
                  </pic:nvPicPr>
                  <pic:blipFill>
                    <a:blip r:embed="rId10"/>
                    <a:stretch>
                      <a:fillRect/>
                    </a:stretch>
                  </pic:blipFill>
                  <pic:spPr>
                    <a:xfrm>
                      <a:off x="0" y="0"/>
                      <a:ext cx="6263640" cy="4708744"/>
                    </a:xfrm>
                    <a:prstGeom prst="rect"/>
                  </pic:spPr>
                </pic:pic>
              </a:graphicData>
            </a:graphic>
          </wp:inline>
        </w:drawing>
      </w:r>
    </w:p>
    <w:p>
      <w:pPr>
        <w:jc w:val="center"/>
      </w:pPr>
      <w:r>
        <w:rPr>
          <w:i/>
          <w:sz w:val="18"/>
        </w:rPr>
        <w:t>Figure 1. Australian training loss, data-epoch boundaries, and peer-delta merge record.</w:t>
      </w:r>
    </w:p>
    <w:p>
      <w:r>
        <w:t>The data cursor now continues across Slakshna invocations. A complete pass consists of 22 optimizer steps distributed as 9 + 9 + 4 steps over three FL rounds. With a site-effective batch of 64, each pass consumes 1,408 of the 1,458 packed sequences. The final 50-sequence tail cannot form another complete distributed optimizer update and is dropped. Thus the run completed five real cursor passes and entered a sixth; the 16 federated rounds are not 16 data epochs.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D9EAF7"/>
          </w:tcPr>
          <w:p>
            <w:pPr>
              <w:spacing w:after="0" w:before="0"/>
            </w:pPr>
            <w:r>
              <w:rPr>
                <w:b/>
                <w:sz w:val="17"/>
              </w:rPr>
            </w:r>
            <w:r>
              <w:rPr>
                <w:b/>
                <w:sz w:val="17"/>
              </w:rPr>
              <w:t>Data epoch</w:t>
            </w:r>
          </w:p>
        </w:tc>
        <w:tc>
          <w:tcPr>
            <w:tcW w:type="dxa" w:w="2033"/>
            <w:vAlign w:val="center"/>
            <w:shd w:fill="D9EAF7"/>
          </w:tcPr>
          <w:p>
            <w:pPr>
              <w:spacing w:after="0" w:before="0"/>
            </w:pPr>
            <w:r>
              <w:rPr>
                <w:b/>
                <w:sz w:val="17"/>
              </w:rPr>
            </w:r>
            <w:r>
              <w:rPr>
                <w:b/>
                <w:sz w:val="17"/>
              </w:rPr>
              <w:t>FL rounds</w:t>
            </w:r>
          </w:p>
        </w:tc>
        <w:tc>
          <w:tcPr>
            <w:tcW w:type="dxa" w:w="2033"/>
            <w:vAlign w:val="center"/>
            <w:shd w:fill="D9EAF7"/>
          </w:tcPr>
          <w:p>
            <w:pPr>
              <w:spacing w:after="0" w:before="0"/>
            </w:pPr>
            <w:r>
              <w:rPr>
                <w:b/>
                <w:sz w:val="17"/>
              </w:rPr>
            </w:r>
            <w:r>
              <w:rPr>
                <w:b/>
                <w:sz w:val="17"/>
              </w:rPr>
              <w:t>Optimizer steps</w:t>
            </w:r>
          </w:p>
        </w:tc>
        <w:tc>
          <w:tcPr>
            <w:tcW w:type="dxa" w:w="2033"/>
            <w:vAlign w:val="center"/>
            <w:shd w:fill="D9EAF7"/>
          </w:tcPr>
          <w:p>
            <w:pPr>
              <w:spacing w:after="0" w:before="0"/>
            </w:pPr>
            <w:r>
              <w:rPr>
                <w:b/>
                <w:sz w:val="17"/>
              </w:rPr>
            </w:r>
            <w:r>
              <w:rPr>
                <w:b/>
                <w:sz w:val="17"/>
              </w:rPr>
              <w:t>Consumed sequences</w:t>
            </w:r>
          </w:p>
        </w:tc>
        <w:tc>
          <w:tcPr>
            <w:tcW w:type="dxa" w:w="2033"/>
            <w:vAlign w:val="center"/>
            <w:shd w:fill="D9EAF7"/>
          </w:tcPr>
          <w:p>
            <w:pPr>
              <w:spacing w:after="0" w:before="0"/>
            </w:pPr>
            <w:r>
              <w:rPr>
                <w:b/>
                <w:sz w:val="17"/>
              </w:rPr>
            </w:r>
            <w:r>
              <w:rPr>
                <w:b/>
                <w:sz w:val="17"/>
              </w:rPr>
              <w:t>Completion / progress</w:t>
            </w:r>
          </w:p>
        </w:tc>
      </w:tr>
      <w:tr>
        <w:tc>
          <w:tcPr>
            <w:tcW w:type="dxa" w:w="2033"/>
            <w:vAlign w:val="center"/>
          </w:tcPr>
          <w:p>
            <w:pPr>
              <w:spacing w:after="0" w:before="0"/>
            </w:pPr>
            <w:r>
              <w:rPr>
                <w:sz w:val="17"/>
              </w:rPr>
            </w:r>
            <w:r>
              <w:rPr>
                <w:sz w:val="17"/>
              </w:rPr>
              <w:t>1</w:t>
            </w:r>
          </w:p>
        </w:tc>
        <w:tc>
          <w:tcPr>
            <w:tcW w:type="dxa" w:w="2033"/>
            <w:vAlign w:val="center"/>
          </w:tcPr>
          <w:p>
            <w:pPr>
              <w:spacing w:after="0" w:before="0"/>
            </w:pPr>
            <w:r>
              <w:rPr>
                <w:sz w:val="17"/>
              </w:rPr>
            </w:r>
            <w:r>
              <w:rPr>
                <w:sz w:val="17"/>
              </w:rPr>
              <w:t>R1–R3</w:t>
            </w:r>
          </w:p>
        </w:tc>
        <w:tc>
          <w:tcPr>
            <w:tcW w:type="dxa" w:w="2033"/>
            <w:vAlign w:val="center"/>
          </w:tcPr>
          <w:p>
            <w:pPr>
              <w:spacing w:after="0" w:before="0"/>
            </w:pPr>
            <w:r>
              <w:rPr>
                <w:sz w:val="17"/>
              </w:rPr>
            </w:r>
            <w:r>
              <w:rPr>
                <w:sz w:val="17"/>
              </w:rPr>
              <w:t>22</w:t>
            </w:r>
          </w:p>
        </w:tc>
        <w:tc>
          <w:tcPr>
            <w:tcW w:type="dxa" w:w="2033"/>
            <w:vAlign w:val="center"/>
          </w:tcPr>
          <w:p>
            <w:pPr>
              <w:spacing w:after="0" w:before="0"/>
            </w:pPr>
            <w:r>
              <w:rPr>
                <w:sz w:val="17"/>
              </w:rPr>
            </w:r>
            <w:r>
              <w:rPr>
                <w:sz w:val="17"/>
              </w:rPr>
              <w:t>1,408</w:t>
            </w:r>
          </w:p>
        </w:tc>
        <w:tc>
          <w:tcPr>
            <w:tcW w:type="dxa" w:w="2033"/>
            <w:vAlign w:val="center"/>
          </w:tcPr>
          <w:p>
            <w:pPr>
              <w:spacing w:after="0" w:before="0"/>
            </w:pPr>
            <w:r>
              <w:rPr>
                <w:sz w:val="17"/>
              </w:rPr>
            </w:r>
            <w:r>
              <w:rPr>
                <w:sz w:val="17"/>
              </w:rPr>
              <w:t>Complete</w:t>
            </w:r>
          </w:p>
        </w:tc>
      </w:tr>
      <w:tr>
        <w:tc>
          <w:tcPr>
            <w:tcW w:type="dxa" w:w="2033"/>
            <w:vAlign w:val="center"/>
          </w:tcPr>
          <w:p>
            <w:pPr>
              <w:spacing w:after="0" w:before="0"/>
            </w:pPr>
            <w:r>
              <w:rPr>
                <w:sz w:val="17"/>
              </w:rPr>
            </w:r>
            <w:r>
              <w:rPr>
                <w:sz w:val="17"/>
              </w:rPr>
              <w:t>2</w:t>
            </w:r>
          </w:p>
        </w:tc>
        <w:tc>
          <w:tcPr>
            <w:tcW w:type="dxa" w:w="2033"/>
            <w:vAlign w:val="center"/>
          </w:tcPr>
          <w:p>
            <w:pPr>
              <w:spacing w:after="0" w:before="0"/>
            </w:pPr>
            <w:r>
              <w:rPr>
                <w:sz w:val="17"/>
              </w:rPr>
            </w:r>
            <w:r>
              <w:rPr>
                <w:sz w:val="17"/>
              </w:rPr>
              <w:t>R4–R6</w:t>
            </w:r>
          </w:p>
        </w:tc>
        <w:tc>
          <w:tcPr>
            <w:tcW w:type="dxa" w:w="2033"/>
            <w:vAlign w:val="center"/>
          </w:tcPr>
          <w:p>
            <w:pPr>
              <w:spacing w:after="0" w:before="0"/>
            </w:pPr>
            <w:r>
              <w:rPr>
                <w:sz w:val="17"/>
              </w:rPr>
            </w:r>
            <w:r>
              <w:rPr>
                <w:sz w:val="17"/>
              </w:rPr>
              <w:t>22</w:t>
            </w:r>
          </w:p>
        </w:tc>
        <w:tc>
          <w:tcPr>
            <w:tcW w:type="dxa" w:w="2033"/>
            <w:vAlign w:val="center"/>
          </w:tcPr>
          <w:p>
            <w:pPr>
              <w:spacing w:after="0" w:before="0"/>
            </w:pPr>
            <w:r>
              <w:rPr>
                <w:sz w:val="17"/>
              </w:rPr>
            </w:r>
            <w:r>
              <w:rPr>
                <w:sz w:val="17"/>
              </w:rPr>
              <w:t>1,408</w:t>
            </w:r>
          </w:p>
        </w:tc>
        <w:tc>
          <w:tcPr>
            <w:tcW w:type="dxa" w:w="2033"/>
            <w:vAlign w:val="center"/>
          </w:tcPr>
          <w:p>
            <w:pPr>
              <w:spacing w:after="0" w:before="0"/>
            </w:pPr>
            <w:r>
              <w:rPr>
                <w:sz w:val="17"/>
              </w:rPr>
            </w:r>
            <w:r>
              <w:rPr>
                <w:sz w:val="17"/>
              </w:rPr>
              <w:t>Complete</w:t>
            </w:r>
          </w:p>
        </w:tc>
      </w:tr>
      <w:tr>
        <w:tc>
          <w:tcPr>
            <w:tcW w:type="dxa" w:w="2033"/>
            <w:vAlign w:val="center"/>
          </w:tcPr>
          <w:p>
            <w:pPr>
              <w:spacing w:after="0" w:before="0"/>
            </w:pPr>
            <w:r>
              <w:rPr>
                <w:sz w:val="17"/>
              </w:rPr>
            </w:r>
            <w:r>
              <w:rPr>
                <w:sz w:val="17"/>
              </w:rPr>
              <w:t>3</w:t>
            </w:r>
          </w:p>
        </w:tc>
        <w:tc>
          <w:tcPr>
            <w:tcW w:type="dxa" w:w="2033"/>
            <w:vAlign w:val="center"/>
          </w:tcPr>
          <w:p>
            <w:pPr>
              <w:spacing w:after="0" w:before="0"/>
            </w:pPr>
            <w:r>
              <w:rPr>
                <w:sz w:val="17"/>
              </w:rPr>
            </w:r>
            <w:r>
              <w:rPr>
                <w:sz w:val="17"/>
              </w:rPr>
              <w:t>R7–R9</w:t>
            </w:r>
          </w:p>
        </w:tc>
        <w:tc>
          <w:tcPr>
            <w:tcW w:type="dxa" w:w="2033"/>
            <w:vAlign w:val="center"/>
          </w:tcPr>
          <w:p>
            <w:pPr>
              <w:spacing w:after="0" w:before="0"/>
            </w:pPr>
            <w:r>
              <w:rPr>
                <w:sz w:val="17"/>
              </w:rPr>
            </w:r>
            <w:r>
              <w:rPr>
                <w:sz w:val="17"/>
              </w:rPr>
              <w:t>22</w:t>
            </w:r>
          </w:p>
        </w:tc>
        <w:tc>
          <w:tcPr>
            <w:tcW w:type="dxa" w:w="2033"/>
            <w:vAlign w:val="center"/>
          </w:tcPr>
          <w:p>
            <w:pPr>
              <w:spacing w:after="0" w:before="0"/>
            </w:pPr>
            <w:r>
              <w:rPr>
                <w:sz w:val="17"/>
              </w:rPr>
            </w:r>
            <w:r>
              <w:rPr>
                <w:sz w:val="17"/>
              </w:rPr>
              <w:t>1,408</w:t>
            </w:r>
          </w:p>
        </w:tc>
        <w:tc>
          <w:tcPr>
            <w:tcW w:type="dxa" w:w="2033"/>
            <w:vAlign w:val="center"/>
          </w:tcPr>
          <w:p>
            <w:pPr>
              <w:spacing w:after="0" w:before="0"/>
            </w:pPr>
            <w:r>
              <w:rPr>
                <w:sz w:val="17"/>
              </w:rPr>
            </w:r>
            <w:r>
              <w:rPr>
                <w:sz w:val="17"/>
              </w:rPr>
              <w:t>Complete</w:t>
            </w:r>
          </w:p>
        </w:tc>
      </w:tr>
      <w:tr>
        <w:tc>
          <w:tcPr>
            <w:tcW w:type="dxa" w:w="2033"/>
            <w:vAlign w:val="center"/>
          </w:tcPr>
          <w:p>
            <w:pPr>
              <w:spacing w:after="0" w:before="0"/>
            </w:pPr>
            <w:r>
              <w:rPr>
                <w:sz w:val="17"/>
              </w:rPr>
            </w:r>
            <w:r>
              <w:rPr>
                <w:sz w:val="17"/>
              </w:rPr>
              <w:t>4</w:t>
            </w:r>
          </w:p>
        </w:tc>
        <w:tc>
          <w:tcPr>
            <w:tcW w:type="dxa" w:w="2033"/>
            <w:vAlign w:val="center"/>
          </w:tcPr>
          <w:p>
            <w:pPr>
              <w:spacing w:after="0" w:before="0"/>
            </w:pPr>
            <w:r>
              <w:rPr>
                <w:sz w:val="17"/>
              </w:rPr>
            </w:r>
            <w:r>
              <w:rPr>
                <w:sz w:val="17"/>
              </w:rPr>
              <w:t>R10–R12</w:t>
            </w:r>
          </w:p>
        </w:tc>
        <w:tc>
          <w:tcPr>
            <w:tcW w:type="dxa" w:w="2033"/>
            <w:vAlign w:val="center"/>
          </w:tcPr>
          <w:p>
            <w:pPr>
              <w:spacing w:after="0" w:before="0"/>
            </w:pPr>
            <w:r>
              <w:rPr>
                <w:sz w:val="17"/>
              </w:rPr>
            </w:r>
            <w:r>
              <w:rPr>
                <w:sz w:val="17"/>
              </w:rPr>
              <w:t>22</w:t>
            </w:r>
          </w:p>
        </w:tc>
        <w:tc>
          <w:tcPr>
            <w:tcW w:type="dxa" w:w="2033"/>
            <w:vAlign w:val="center"/>
          </w:tcPr>
          <w:p>
            <w:pPr>
              <w:spacing w:after="0" w:before="0"/>
            </w:pPr>
            <w:r>
              <w:rPr>
                <w:sz w:val="17"/>
              </w:rPr>
            </w:r>
            <w:r>
              <w:rPr>
                <w:sz w:val="17"/>
              </w:rPr>
              <w:t>1,408</w:t>
            </w:r>
          </w:p>
        </w:tc>
        <w:tc>
          <w:tcPr>
            <w:tcW w:type="dxa" w:w="2033"/>
            <w:vAlign w:val="center"/>
          </w:tcPr>
          <w:p>
            <w:pPr>
              <w:spacing w:after="0" w:before="0"/>
            </w:pPr>
            <w:r>
              <w:rPr>
                <w:sz w:val="17"/>
              </w:rPr>
            </w:r>
            <w:r>
              <w:rPr>
                <w:sz w:val="17"/>
              </w:rPr>
              <w:t>Complete</w:t>
            </w:r>
          </w:p>
        </w:tc>
      </w:tr>
      <w:tr>
        <w:tc>
          <w:tcPr>
            <w:tcW w:type="dxa" w:w="2033"/>
            <w:vAlign w:val="center"/>
          </w:tcPr>
          <w:p>
            <w:pPr>
              <w:spacing w:after="0" w:before="0"/>
            </w:pPr>
            <w:r>
              <w:rPr>
                <w:sz w:val="17"/>
              </w:rPr>
            </w:r>
            <w:r>
              <w:rPr>
                <w:sz w:val="17"/>
              </w:rPr>
              <w:t>5</w:t>
            </w:r>
          </w:p>
        </w:tc>
        <w:tc>
          <w:tcPr>
            <w:tcW w:type="dxa" w:w="2033"/>
            <w:vAlign w:val="center"/>
          </w:tcPr>
          <w:p>
            <w:pPr>
              <w:spacing w:after="0" w:before="0"/>
            </w:pPr>
            <w:r>
              <w:rPr>
                <w:sz w:val="17"/>
              </w:rPr>
            </w:r>
            <w:r>
              <w:rPr>
                <w:sz w:val="17"/>
              </w:rPr>
              <w:t>R13–R15</w:t>
            </w:r>
          </w:p>
        </w:tc>
        <w:tc>
          <w:tcPr>
            <w:tcW w:type="dxa" w:w="2033"/>
            <w:vAlign w:val="center"/>
          </w:tcPr>
          <w:p>
            <w:pPr>
              <w:spacing w:after="0" w:before="0"/>
            </w:pPr>
            <w:r>
              <w:rPr>
                <w:sz w:val="17"/>
              </w:rPr>
            </w:r>
            <w:r>
              <w:rPr>
                <w:sz w:val="17"/>
              </w:rPr>
              <w:t>22</w:t>
            </w:r>
          </w:p>
        </w:tc>
        <w:tc>
          <w:tcPr>
            <w:tcW w:type="dxa" w:w="2033"/>
            <w:vAlign w:val="center"/>
          </w:tcPr>
          <w:p>
            <w:pPr>
              <w:spacing w:after="0" w:before="0"/>
            </w:pPr>
            <w:r>
              <w:rPr>
                <w:sz w:val="17"/>
              </w:rPr>
            </w:r>
            <w:r>
              <w:rPr>
                <w:sz w:val="17"/>
              </w:rPr>
              <w:t>1,408</w:t>
            </w:r>
          </w:p>
        </w:tc>
        <w:tc>
          <w:tcPr>
            <w:tcW w:type="dxa" w:w="2033"/>
            <w:vAlign w:val="center"/>
          </w:tcPr>
          <w:p>
            <w:pPr>
              <w:spacing w:after="0" w:before="0"/>
            </w:pPr>
            <w:r>
              <w:rPr>
                <w:sz w:val="17"/>
              </w:rPr>
            </w:r>
            <w:r>
              <w:rPr>
                <w:sz w:val="17"/>
              </w:rPr>
              <w:t>Complete</w:t>
            </w:r>
          </w:p>
        </w:tc>
      </w:tr>
      <w:tr>
        <w:tc>
          <w:tcPr>
            <w:tcW w:type="dxa" w:w="2033"/>
            <w:vAlign w:val="center"/>
          </w:tcPr>
          <w:p>
            <w:pPr>
              <w:spacing w:after="0" w:before="0"/>
            </w:pPr>
            <w:r>
              <w:rPr>
                <w:sz w:val="17"/>
              </w:rPr>
            </w:r>
            <w:r>
              <w:rPr>
                <w:sz w:val="17"/>
              </w:rPr>
              <w:t>6</w:t>
            </w:r>
          </w:p>
        </w:tc>
        <w:tc>
          <w:tcPr>
            <w:tcW w:type="dxa" w:w="2033"/>
            <w:vAlign w:val="center"/>
          </w:tcPr>
          <w:p>
            <w:pPr>
              <w:spacing w:after="0" w:before="0"/>
            </w:pPr>
            <w:r>
              <w:rPr>
                <w:sz w:val="17"/>
              </w:rPr>
            </w:r>
            <w:r>
              <w:rPr>
                <w:sz w:val="17"/>
              </w:rPr>
              <w:t>R16</w:t>
            </w:r>
          </w:p>
        </w:tc>
        <w:tc>
          <w:tcPr>
            <w:tcW w:type="dxa" w:w="2033"/>
            <w:vAlign w:val="center"/>
          </w:tcPr>
          <w:p>
            <w:pPr>
              <w:spacing w:after="0" w:before="0"/>
            </w:pPr>
            <w:r>
              <w:rPr>
                <w:sz w:val="17"/>
              </w:rPr>
            </w:r>
            <w:r>
              <w:rPr>
                <w:sz w:val="17"/>
              </w:rPr>
              <w:t>9</w:t>
            </w:r>
          </w:p>
        </w:tc>
        <w:tc>
          <w:tcPr>
            <w:tcW w:type="dxa" w:w="2033"/>
            <w:vAlign w:val="center"/>
          </w:tcPr>
          <w:p>
            <w:pPr>
              <w:spacing w:after="0" w:before="0"/>
            </w:pPr>
            <w:r>
              <w:rPr>
                <w:sz w:val="17"/>
              </w:rPr>
            </w:r>
            <w:r>
              <w:rPr>
                <w:sz w:val="17"/>
              </w:rPr>
              <w:t>576</w:t>
            </w:r>
          </w:p>
        </w:tc>
        <w:tc>
          <w:tcPr>
            <w:tcW w:type="dxa" w:w="2033"/>
            <w:vAlign w:val="center"/>
          </w:tcPr>
          <w:p>
            <w:pPr>
              <w:spacing w:after="0" w:before="0"/>
            </w:pPr>
            <w:r>
              <w:rPr>
                <w:sz w:val="17"/>
              </w:rPr>
            </w:r>
            <w:r>
              <w:rPr>
                <w:sz w:val="17"/>
              </w:rPr>
              <w:t>39.5% of the dataset cursor</w:t>
            </w:r>
          </w:p>
        </w:tc>
      </w:tr>
    </w:tbl>
    <w:p>
      <w:pPr>
        <w:spacing w:after="0"/>
      </w:pPr>
    </w:p>
    <w:p>
      <w:r>
        <w:t>The loss trajectory falls rapidly over the first two data epochs and then settles near 1.5–1.7. The apparent rises at Rounds 4, 7, 10, 13, and 16 coincide with the start of a new data pass rather than a loss of training state. Selected round summaries are shown below; the full 16-round record is retained with the figure assets.</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pPr>
              <w:spacing w:after="0" w:before="0"/>
            </w:pPr>
            <w:r>
              <w:rPr>
                <w:b/>
                <w:sz w:val="17"/>
              </w:rPr>
            </w:r>
            <w:r>
              <w:rPr>
                <w:b/>
                <w:sz w:val="17"/>
              </w:rPr>
              <w:t>Round</w:t>
            </w:r>
          </w:p>
        </w:tc>
        <w:tc>
          <w:tcPr>
            <w:tcW w:type="dxa" w:w="1694"/>
            <w:vAlign w:val="center"/>
            <w:shd w:fill="D9EAF7"/>
          </w:tcPr>
          <w:p>
            <w:pPr>
              <w:spacing w:after="0" w:before="0"/>
            </w:pPr>
            <w:r>
              <w:rPr>
                <w:b/>
                <w:sz w:val="17"/>
              </w:rPr>
            </w:r>
            <w:r>
              <w:rPr>
                <w:b/>
                <w:sz w:val="17"/>
              </w:rPr>
              <w:t>Steps</w:t>
            </w:r>
          </w:p>
        </w:tc>
        <w:tc>
          <w:tcPr>
            <w:tcW w:type="dxa" w:w="1694"/>
            <w:vAlign w:val="center"/>
            <w:shd w:fill="D9EAF7"/>
          </w:tcPr>
          <w:p>
            <w:pPr>
              <w:spacing w:after="0" w:before="0"/>
            </w:pPr>
            <w:r>
              <w:rPr>
                <w:b/>
                <w:sz w:val="17"/>
              </w:rPr>
            </w:r>
            <w:r>
              <w:rPr>
                <w:b/>
                <w:sz w:val="17"/>
              </w:rPr>
              <w:t>Start loss</w:t>
            </w:r>
          </w:p>
        </w:tc>
        <w:tc>
          <w:tcPr>
            <w:tcW w:type="dxa" w:w="1694"/>
            <w:vAlign w:val="center"/>
            <w:shd w:fill="D9EAF7"/>
          </w:tcPr>
          <w:p>
            <w:pPr>
              <w:spacing w:after="0" w:before="0"/>
            </w:pPr>
            <w:r>
              <w:rPr>
                <w:b/>
                <w:sz w:val="17"/>
              </w:rPr>
            </w:r>
            <w:r>
              <w:rPr>
                <w:b/>
                <w:sz w:val="17"/>
              </w:rPr>
              <w:t>Mean loss</w:t>
            </w:r>
          </w:p>
        </w:tc>
        <w:tc>
          <w:tcPr>
            <w:tcW w:type="dxa" w:w="1694"/>
            <w:vAlign w:val="center"/>
            <w:shd w:fill="D9EAF7"/>
          </w:tcPr>
          <w:p>
            <w:pPr>
              <w:spacing w:after="0" w:before="0"/>
            </w:pPr>
            <w:r>
              <w:rPr>
                <w:b/>
                <w:sz w:val="17"/>
              </w:rPr>
            </w:r>
            <w:r>
              <w:rPr>
                <w:b/>
                <w:sz w:val="17"/>
              </w:rPr>
              <w:t>End loss</w:t>
            </w:r>
          </w:p>
        </w:tc>
        <w:tc>
          <w:tcPr>
            <w:tcW w:type="dxa" w:w="1694"/>
            <w:vAlign w:val="center"/>
            <w:shd w:fill="D9EAF7"/>
          </w:tcPr>
          <w:p>
            <w:pPr>
              <w:spacing w:after="0" w:before="0"/>
            </w:pPr>
            <w:r>
              <w:rPr>
                <w:b/>
                <w:sz w:val="17"/>
              </w:rPr>
            </w:r>
            <w:r>
              <w:rPr>
                <w:b/>
                <w:sz w:val="17"/>
              </w:rPr>
              <w:t>Peer delta</w:t>
            </w:r>
          </w:p>
        </w:tc>
      </w:tr>
      <w:tr>
        <w:tc>
          <w:tcPr>
            <w:tcW w:type="dxa" w:w="1694"/>
            <w:vAlign w:val="center"/>
          </w:tcPr>
          <w:p>
            <w:pPr>
              <w:spacing w:after="0" w:before="0"/>
            </w:pPr>
            <w:r>
              <w:rPr>
                <w:sz w:val="17"/>
              </w:rPr>
            </w:r>
            <w:r>
              <w:rPr>
                <w:sz w:val="17"/>
              </w:rPr>
              <w:t>1</w:t>
            </w:r>
          </w:p>
        </w:tc>
        <w:tc>
          <w:tcPr>
            <w:tcW w:type="dxa" w:w="1694"/>
            <w:vAlign w:val="center"/>
          </w:tcPr>
          <w:p>
            <w:pPr>
              <w:spacing w:after="0" w:before="0"/>
            </w:pPr>
            <w:r>
              <w:rPr>
                <w:sz w:val="17"/>
              </w:rPr>
            </w:r>
            <w:r>
              <w:rPr>
                <w:sz w:val="17"/>
              </w:rPr>
              <w:t>9</w:t>
            </w:r>
          </w:p>
        </w:tc>
        <w:tc>
          <w:tcPr>
            <w:tcW w:type="dxa" w:w="1694"/>
            <w:vAlign w:val="center"/>
          </w:tcPr>
          <w:p>
            <w:pPr>
              <w:spacing w:after="0" w:before="0"/>
            </w:pPr>
            <w:r>
              <w:rPr>
                <w:sz w:val="17"/>
              </w:rPr>
            </w:r>
            <w:r>
              <w:rPr>
                <w:sz w:val="17"/>
              </w:rPr>
              <w:t>3.6406</w:t>
            </w:r>
          </w:p>
        </w:tc>
        <w:tc>
          <w:tcPr>
            <w:tcW w:type="dxa" w:w="1694"/>
            <w:vAlign w:val="center"/>
          </w:tcPr>
          <w:p>
            <w:pPr>
              <w:spacing w:after="0" w:before="0"/>
            </w:pPr>
            <w:r>
              <w:rPr>
                <w:sz w:val="17"/>
              </w:rPr>
            </w:r>
            <w:r>
              <w:rPr>
                <w:sz w:val="17"/>
              </w:rPr>
              <w:t>3.1267</w:t>
            </w:r>
          </w:p>
        </w:tc>
        <w:tc>
          <w:tcPr>
            <w:tcW w:type="dxa" w:w="1694"/>
            <w:vAlign w:val="center"/>
          </w:tcPr>
          <w:p>
            <w:pPr>
              <w:spacing w:after="0" w:before="0"/>
            </w:pPr>
            <w:r>
              <w:rPr>
                <w:sz w:val="17"/>
              </w:rPr>
            </w:r>
            <w:r>
              <w:rPr>
                <w:sz w:val="17"/>
              </w:rPr>
              <w:t>3.1875</w:t>
            </w:r>
          </w:p>
        </w:tc>
        <w:tc>
          <w:tcPr>
            <w:tcW w:type="dxa" w:w="1694"/>
            <w:vAlign w:val="center"/>
          </w:tcPr>
          <w:p>
            <w:pPr>
              <w:spacing w:after="0" w:before="0"/>
            </w:pPr>
            <w:r>
              <w:rPr>
                <w:sz w:val="17"/>
              </w:rPr>
            </w:r>
            <w:r>
              <w:rPr>
                <w:sz w:val="17"/>
              </w:rPr>
              <w:t>None</w:t>
            </w:r>
          </w:p>
        </w:tc>
      </w:tr>
      <w:tr>
        <w:tc>
          <w:tcPr>
            <w:tcW w:type="dxa" w:w="1694"/>
            <w:vAlign w:val="center"/>
          </w:tcPr>
          <w:p>
            <w:pPr>
              <w:spacing w:after="0" w:before="0"/>
            </w:pPr>
            <w:r>
              <w:rPr>
                <w:sz w:val="17"/>
              </w:rPr>
            </w:r>
            <w:r>
              <w:rPr>
                <w:sz w:val="17"/>
              </w:rPr>
              <w:t>3</w:t>
            </w:r>
          </w:p>
        </w:tc>
        <w:tc>
          <w:tcPr>
            <w:tcW w:type="dxa" w:w="1694"/>
            <w:vAlign w:val="center"/>
          </w:tcPr>
          <w:p>
            <w:pPr>
              <w:spacing w:after="0" w:before="0"/>
            </w:pPr>
            <w:r>
              <w:rPr>
                <w:sz w:val="17"/>
              </w:rPr>
            </w:r>
            <w:r>
              <w:rPr>
                <w:sz w:val="17"/>
              </w:rPr>
              <w:t>4</w:t>
            </w:r>
          </w:p>
        </w:tc>
        <w:tc>
          <w:tcPr>
            <w:tcW w:type="dxa" w:w="1694"/>
            <w:vAlign w:val="center"/>
          </w:tcPr>
          <w:p>
            <w:pPr>
              <w:spacing w:after="0" w:before="0"/>
            </w:pPr>
            <w:r>
              <w:rPr>
                <w:sz w:val="17"/>
              </w:rPr>
            </w:r>
            <w:r>
              <w:rPr>
                <w:sz w:val="17"/>
              </w:rPr>
              <w:t>2.5938</w:t>
            </w:r>
          </w:p>
        </w:tc>
        <w:tc>
          <w:tcPr>
            <w:tcW w:type="dxa" w:w="1694"/>
            <w:vAlign w:val="center"/>
          </w:tcPr>
          <w:p>
            <w:pPr>
              <w:spacing w:after="0" w:before="0"/>
            </w:pPr>
            <w:r>
              <w:rPr>
                <w:sz w:val="17"/>
              </w:rPr>
            </w:r>
            <w:r>
              <w:rPr>
                <w:sz w:val="17"/>
              </w:rPr>
              <w:t>2.6914</w:t>
            </w:r>
          </w:p>
        </w:tc>
        <w:tc>
          <w:tcPr>
            <w:tcW w:type="dxa" w:w="1694"/>
            <w:vAlign w:val="center"/>
          </w:tcPr>
          <w:p>
            <w:pPr>
              <w:spacing w:after="0" w:before="0"/>
            </w:pPr>
            <w:r>
              <w:rPr>
                <w:sz w:val="17"/>
              </w:rPr>
            </w:r>
            <w:r>
              <w:rPr>
                <w:sz w:val="17"/>
              </w:rPr>
              <w:t>2.5781</w:t>
            </w:r>
          </w:p>
        </w:tc>
        <w:tc>
          <w:tcPr>
            <w:tcW w:type="dxa" w:w="1694"/>
            <w:vAlign w:val="center"/>
          </w:tcPr>
          <w:p>
            <w:pPr>
              <w:spacing w:after="0" w:before="0"/>
            </w:pPr>
            <w:r>
              <w:rPr>
                <w:sz w:val="17"/>
              </w:rPr>
            </w:r>
            <w:r>
              <w:rPr>
                <w:sz w:val="17"/>
              </w:rPr>
              <w:t>D1</w:t>
            </w:r>
          </w:p>
        </w:tc>
      </w:tr>
      <w:tr>
        <w:tc>
          <w:tcPr>
            <w:tcW w:type="dxa" w:w="1694"/>
            <w:vAlign w:val="center"/>
          </w:tcPr>
          <w:p>
            <w:pPr>
              <w:spacing w:after="0" w:before="0"/>
            </w:pPr>
            <w:r>
              <w:rPr>
                <w:sz w:val="17"/>
              </w:rPr>
            </w:r>
            <w:r>
              <w:rPr>
                <w:sz w:val="17"/>
              </w:rPr>
              <w:t>6</w:t>
            </w:r>
          </w:p>
        </w:tc>
        <w:tc>
          <w:tcPr>
            <w:tcW w:type="dxa" w:w="1694"/>
            <w:vAlign w:val="center"/>
          </w:tcPr>
          <w:p>
            <w:pPr>
              <w:spacing w:after="0" w:before="0"/>
            </w:pPr>
            <w:r>
              <w:rPr>
                <w:sz w:val="17"/>
              </w:rPr>
            </w:r>
            <w:r>
              <w:rPr>
                <w:sz w:val="17"/>
              </w:rPr>
              <w:t>4</w:t>
            </w:r>
          </w:p>
        </w:tc>
        <w:tc>
          <w:tcPr>
            <w:tcW w:type="dxa" w:w="1694"/>
            <w:vAlign w:val="center"/>
          </w:tcPr>
          <w:p>
            <w:pPr>
              <w:spacing w:after="0" w:before="0"/>
            </w:pPr>
            <w:r>
              <w:rPr>
                <w:sz w:val="17"/>
              </w:rPr>
            </w:r>
            <w:r>
              <w:rPr>
                <w:sz w:val="17"/>
              </w:rPr>
              <w:t>1.9297</w:t>
            </w:r>
          </w:p>
        </w:tc>
        <w:tc>
          <w:tcPr>
            <w:tcW w:type="dxa" w:w="1694"/>
            <w:vAlign w:val="center"/>
          </w:tcPr>
          <w:p>
            <w:pPr>
              <w:spacing w:after="0" w:before="0"/>
            </w:pPr>
            <w:r>
              <w:rPr>
                <w:sz w:val="17"/>
              </w:rPr>
            </w:r>
            <w:r>
              <w:rPr>
                <w:sz w:val="17"/>
              </w:rPr>
              <w:t>1.9609</w:t>
            </w:r>
          </w:p>
        </w:tc>
        <w:tc>
          <w:tcPr>
            <w:tcW w:type="dxa" w:w="1694"/>
            <w:vAlign w:val="center"/>
          </w:tcPr>
          <w:p>
            <w:pPr>
              <w:spacing w:after="0" w:before="0"/>
            </w:pPr>
            <w:r>
              <w:rPr>
                <w:sz w:val="17"/>
              </w:rPr>
            </w:r>
            <w:r>
              <w:rPr>
                <w:sz w:val="17"/>
              </w:rPr>
              <w:t>1.8828</w:t>
            </w:r>
          </w:p>
        </w:tc>
        <w:tc>
          <w:tcPr>
            <w:tcW w:type="dxa" w:w="1694"/>
            <w:vAlign w:val="center"/>
          </w:tcPr>
          <w:p>
            <w:pPr>
              <w:spacing w:after="0" w:before="0"/>
            </w:pPr>
            <w:r>
              <w:rPr>
                <w:sz w:val="17"/>
              </w:rPr>
            </w:r>
            <w:r>
              <w:rPr>
                <w:sz w:val="17"/>
              </w:rPr>
              <w:t>D3 reused</w:t>
            </w:r>
          </w:p>
        </w:tc>
      </w:tr>
      <w:tr>
        <w:tc>
          <w:tcPr>
            <w:tcW w:type="dxa" w:w="1694"/>
            <w:vAlign w:val="center"/>
          </w:tcPr>
          <w:p>
            <w:pPr>
              <w:spacing w:after="0" w:before="0"/>
            </w:pPr>
            <w:r>
              <w:rPr>
                <w:sz w:val="17"/>
              </w:rPr>
            </w:r>
            <w:r>
              <w:rPr>
                <w:b/>
                <w:sz w:val="17"/>
              </w:rPr>
              <w:t>7</w:t>
            </w:r>
          </w:p>
        </w:tc>
        <w:tc>
          <w:tcPr>
            <w:tcW w:type="dxa" w:w="1694"/>
            <w:vAlign w:val="center"/>
          </w:tcPr>
          <w:p>
            <w:pPr>
              <w:spacing w:after="0" w:before="0"/>
            </w:pPr>
            <w:r>
              <w:rPr>
                <w:sz w:val="17"/>
              </w:rPr>
            </w:r>
            <w:r>
              <w:rPr>
                <w:sz w:val="17"/>
              </w:rPr>
              <w:t>9</w:t>
            </w:r>
          </w:p>
        </w:tc>
        <w:tc>
          <w:tcPr>
            <w:tcW w:type="dxa" w:w="1694"/>
            <w:vAlign w:val="center"/>
          </w:tcPr>
          <w:p>
            <w:pPr>
              <w:spacing w:after="0" w:before="0"/>
            </w:pPr>
            <w:r>
              <w:rPr>
                <w:sz w:val="17"/>
              </w:rPr>
            </w:r>
            <w:r>
              <w:rPr>
                <w:sz w:val="17"/>
              </w:rPr>
              <w:t>2.1719</w:t>
            </w:r>
          </w:p>
        </w:tc>
        <w:tc>
          <w:tcPr>
            <w:tcW w:type="dxa" w:w="1694"/>
            <w:vAlign w:val="center"/>
          </w:tcPr>
          <w:p>
            <w:pPr>
              <w:spacing w:after="0" w:before="0"/>
            </w:pPr>
            <w:r>
              <w:rPr>
                <w:sz w:val="17"/>
              </w:rPr>
            </w:r>
            <w:r>
              <w:rPr>
                <w:sz w:val="17"/>
              </w:rPr>
              <w:t>1.8038</w:t>
            </w:r>
          </w:p>
        </w:tc>
        <w:tc>
          <w:tcPr>
            <w:tcW w:type="dxa" w:w="1694"/>
            <w:vAlign w:val="center"/>
          </w:tcPr>
          <w:p>
            <w:pPr>
              <w:spacing w:after="0" w:before="0"/>
            </w:pPr>
            <w:r>
              <w:rPr>
                <w:sz w:val="17"/>
              </w:rPr>
            </w:r>
            <w:r>
              <w:rPr>
                <w:sz w:val="17"/>
              </w:rPr>
              <w:t>1.8281</w:t>
            </w:r>
          </w:p>
        </w:tc>
        <w:tc>
          <w:tcPr>
            <w:tcW w:type="dxa" w:w="1694"/>
            <w:vAlign w:val="center"/>
          </w:tcPr>
          <w:p>
            <w:pPr>
              <w:spacing w:after="0" w:before="0"/>
            </w:pPr>
            <w:r>
              <w:rPr>
                <w:sz w:val="17"/>
              </w:rPr>
            </w:r>
            <w:r>
              <w:rPr>
                <w:b/>
                <w:sz w:val="17"/>
              </w:rPr>
              <w:t>D4, last active-peer round</w:t>
            </w:r>
          </w:p>
        </w:tc>
      </w:tr>
      <w:tr>
        <w:tc>
          <w:tcPr>
            <w:tcW w:type="dxa" w:w="1694"/>
            <w:vAlign w:val="center"/>
          </w:tcPr>
          <w:p>
            <w:pPr>
              <w:spacing w:after="0" w:before="0"/>
            </w:pPr>
            <w:r>
              <w:rPr>
                <w:sz w:val="17"/>
              </w:rPr>
            </w:r>
            <w:r>
              <w:rPr>
                <w:sz w:val="17"/>
              </w:rPr>
              <w:t>9</w:t>
            </w:r>
          </w:p>
        </w:tc>
        <w:tc>
          <w:tcPr>
            <w:tcW w:type="dxa" w:w="1694"/>
            <w:vAlign w:val="center"/>
          </w:tcPr>
          <w:p>
            <w:pPr>
              <w:spacing w:after="0" w:before="0"/>
            </w:pPr>
            <w:r>
              <w:rPr>
                <w:sz w:val="17"/>
              </w:rPr>
            </w:r>
            <w:r>
              <w:rPr>
                <w:sz w:val="17"/>
              </w:rPr>
              <w:t>4</w:t>
            </w:r>
          </w:p>
        </w:tc>
        <w:tc>
          <w:tcPr>
            <w:tcW w:type="dxa" w:w="1694"/>
            <w:vAlign w:val="center"/>
          </w:tcPr>
          <w:p>
            <w:pPr>
              <w:spacing w:after="0" w:before="0"/>
            </w:pPr>
            <w:r>
              <w:rPr>
                <w:sz w:val="17"/>
              </w:rPr>
            </w:r>
            <w:r>
              <w:rPr>
                <w:sz w:val="17"/>
              </w:rPr>
              <w:t>1.5859</w:t>
            </w:r>
          </w:p>
        </w:tc>
        <w:tc>
          <w:tcPr>
            <w:tcW w:type="dxa" w:w="1694"/>
            <w:vAlign w:val="center"/>
          </w:tcPr>
          <w:p>
            <w:pPr>
              <w:spacing w:after="0" w:before="0"/>
            </w:pPr>
            <w:r>
              <w:rPr>
                <w:sz w:val="17"/>
              </w:rPr>
            </w:r>
            <w:r>
              <w:rPr>
                <w:sz w:val="17"/>
              </w:rPr>
              <w:t>1.6426</w:t>
            </w:r>
          </w:p>
        </w:tc>
        <w:tc>
          <w:tcPr>
            <w:tcW w:type="dxa" w:w="1694"/>
            <w:vAlign w:val="center"/>
          </w:tcPr>
          <w:p>
            <w:pPr>
              <w:spacing w:after="0" w:before="0"/>
            </w:pPr>
            <w:r>
              <w:rPr>
                <w:sz w:val="17"/>
              </w:rPr>
            </w:r>
            <w:r>
              <w:rPr>
                <w:sz w:val="17"/>
              </w:rPr>
              <w:t>1.6641</w:t>
            </w:r>
          </w:p>
        </w:tc>
        <w:tc>
          <w:tcPr>
            <w:tcW w:type="dxa" w:w="1694"/>
            <w:vAlign w:val="center"/>
          </w:tcPr>
          <w:p>
            <w:pPr>
              <w:spacing w:after="0" w:before="0"/>
            </w:pPr>
            <w:r>
              <w:rPr>
                <w:sz w:val="17"/>
              </w:rPr>
            </w:r>
            <w:r>
              <w:rPr>
                <w:sz w:val="17"/>
              </w:rPr>
              <w:t>D4 reused after departure</w:t>
            </w:r>
          </w:p>
        </w:tc>
      </w:tr>
      <w:tr>
        <w:tc>
          <w:tcPr>
            <w:tcW w:type="dxa" w:w="1694"/>
            <w:vAlign w:val="center"/>
          </w:tcPr>
          <w:p>
            <w:pPr>
              <w:spacing w:after="0" w:before="0"/>
            </w:pPr>
            <w:r>
              <w:rPr>
                <w:sz w:val="17"/>
              </w:rPr>
            </w:r>
            <w:r>
              <w:rPr>
                <w:sz w:val="17"/>
              </w:rPr>
              <w:t>12</w:t>
            </w:r>
          </w:p>
        </w:tc>
        <w:tc>
          <w:tcPr>
            <w:tcW w:type="dxa" w:w="1694"/>
            <w:vAlign w:val="center"/>
          </w:tcPr>
          <w:p>
            <w:pPr>
              <w:spacing w:after="0" w:before="0"/>
            </w:pPr>
            <w:r>
              <w:rPr>
                <w:sz w:val="17"/>
              </w:rPr>
            </w:r>
            <w:r>
              <w:rPr>
                <w:sz w:val="17"/>
              </w:rPr>
              <w:t>4</w:t>
            </w:r>
          </w:p>
        </w:tc>
        <w:tc>
          <w:tcPr>
            <w:tcW w:type="dxa" w:w="1694"/>
            <w:vAlign w:val="center"/>
          </w:tcPr>
          <w:p>
            <w:pPr>
              <w:spacing w:after="0" w:before="0"/>
            </w:pPr>
            <w:r>
              <w:rPr>
                <w:sz w:val="17"/>
              </w:rPr>
            </w:r>
            <w:r>
              <w:rPr>
                <w:sz w:val="17"/>
              </w:rPr>
              <w:t>1.4688</w:t>
            </w:r>
          </w:p>
        </w:tc>
        <w:tc>
          <w:tcPr>
            <w:tcW w:type="dxa" w:w="1694"/>
            <w:vAlign w:val="center"/>
          </w:tcPr>
          <w:p>
            <w:pPr>
              <w:spacing w:after="0" w:before="0"/>
            </w:pPr>
            <w:r>
              <w:rPr>
                <w:sz w:val="17"/>
              </w:rPr>
            </w:r>
            <w:r>
              <w:rPr>
                <w:sz w:val="17"/>
              </w:rPr>
              <w:t>1.5371</w:t>
            </w:r>
          </w:p>
        </w:tc>
        <w:tc>
          <w:tcPr>
            <w:tcW w:type="dxa" w:w="1694"/>
            <w:vAlign w:val="center"/>
          </w:tcPr>
          <w:p>
            <w:pPr>
              <w:spacing w:after="0" w:before="0"/>
            </w:pPr>
            <w:r>
              <w:rPr>
                <w:sz w:val="17"/>
              </w:rPr>
            </w:r>
            <w:r>
              <w:rPr>
                <w:sz w:val="17"/>
              </w:rPr>
              <w:t>1.5703</w:t>
            </w:r>
          </w:p>
        </w:tc>
        <w:tc>
          <w:tcPr>
            <w:tcW w:type="dxa" w:w="1694"/>
            <w:vAlign w:val="center"/>
          </w:tcPr>
          <w:p>
            <w:pPr>
              <w:spacing w:after="0" w:before="0"/>
            </w:pPr>
            <w:r>
              <w:rPr>
                <w:sz w:val="17"/>
              </w:rPr>
            </w:r>
            <w:r>
              <w:rPr>
                <w:sz w:val="17"/>
              </w:rPr>
              <w:t>D4 reused after departure</w:t>
            </w:r>
          </w:p>
        </w:tc>
      </w:tr>
      <w:tr>
        <w:tc>
          <w:tcPr>
            <w:tcW w:type="dxa" w:w="1694"/>
            <w:vAlign w:val="center"/>
          </w:tcPr>
          <w:p>
            <w:pPr>
              <w:spacing w:after="0" w:before="0"/>
            </w:pPr>
            <w:r>
              <w:rPr>
                <w:sz w:val="17"/>
              </w:rPr>
            </w:r>
            <w:r>
              <w:rPr>
                <w:sz w:val="17"/>
              </w:rPr>
              <w:t>15</w:t>
            </w:r>
          </w:p>
        </w:tc>
        <w:tc>
          <w:tcPr>
            <w:tcW w:type="dxa" w:w="1694"/>
            <w:vAlign w:val="center"/>
          </w:tcPr>
          <w:p>
            <w:pPr>
              <w:spacing w:after="0" w:before="0"/>
            </w:pPr>
            <w:r>
              <w:rPr>
                <w:sz w:val="17"/>
              </w:rPr>
            </w:r>
            <w:r>
              <w:rPr>
                <w:sz w:val="17"/>
              </w:rPr>
              <w:t>4</w:t>
            </w:r>
          </w:p>
        </w:tc>
        <w:tc>
          <w:tcPr>
            <w:tcW w:type="dxa" w:w="1694"/>
            <w:vAlign w:val="center"/>
          </w:tcPr>
          <w:p>
            <w:pPr>
              <w:spacing w:after="0" w:before="0"/>
            </w:pPr>
            <w:r>
              <w:rPr>
                <w:sz w:val="17"/>
              </w:rPr>
            </w:r>
            <w:r>
              <w:rPr>
                <w:sz w:val="17"/>
              </w:rPr>
              <w:t>1.3906</w:t>
            </w:r>
          </w:p>
        </w:tc>
        <w:tc>
          <w:tcPr>
            <w:tcW w:type="dxa" w:w="1694"/>
            <w:vAlign w:val="center"/>
          </w:tcPr>
          <w:p>
            <w:pPr>
              <w:spacing w:after="0" w:before="0"/>
            </w:pPr>
            <w:r>
              <w:rPr>
                <w:sz w:val="17"/>
              </w:rPr>
            </w:r>
            <w:r>
              <w:rPr>
                <w:sz w:val="17"/>
              </w:rPr>
              <w:t>1.4785</w:t>
            </w:r>
          </w:p>
        </w:tc>
        <w:tc>
          <w:tcPr>
            <w:tcW w:type="dxa" w:w="1694"/>
            <w:vAlign w:val="center"/>
          </w:tcPr>
          <w:p>
            <w:pPr>
              <w:spacing w:after="0" w:before="0"/>
            </w:pPr>
            <w:r>
              <w:rPr>
                <w:sz w:val="17"/>
              </w:rPr>
            </w:r>
            <w:r>
              <w:rPr>
                <w:sz w:val="17"/>
              </w:rPr>
              <w:t>1.5156</w:t>
            </w:r>
          </w:p>
        </w:tc>
        <w:tc>
          <w:tcPr>
            <w:tcW w:type="dxa" w:w="1694"/>
            <w:vAlign w:val="center"/>
          </w:tcPr>
          <w:p>
            <w:pPr>
              <w:spacing w:after="0" w:before="0"/>
            </w:pPr>
            <w:r>
              <w:rPr>
                <w:sz w:val="17"/>
              </w:rPr>
            </w:r>
            <w:r>
              <w:rPr>
                <w:sz w:val="17"/>
              </w:rPr>
              <w:t>D4 reused after departure</w:t>
            </w:r>
          </w:p>
        </w:tc>
      </w:tr>
      <w:tr>
        <w:tc>
          <w:tcPr>
            <w:tcW w:type="dxa" w:w="1694"/>
            <w:vAlign w:val="center"/>
          </w:tcPr>
          <w:p>
            <w:pPr>
              <w:spacing w:after="0" w:before="0"/>
            </w:pPr>
            <w:r>
              <w:rPr>
                <w:sz w:val="17"/>
              </w:rPr>
            </w:r>
            <w:r>
              <w:rPr>
                <w:sz w:val="17"/>
              </w:rPr>
              <w:t>16</w:t>
            </w:r>
          </w:p>
        </w:tc>
        <w:tc>
          <w:tcPr>
            <w:tcW w:type="dxa" w:w="1694"/>
            <w:vAlign w:val="center"/>
          </w:tcPr>
          <w:p>
            <w:pPr>
              <w:spacing w:after="0" w:before="0"/>
            </w:pPr>
            <w:r>
              <w:rPr>
                <w:sz w:val="17"/>
              </w:rPr>
            </w:r>
            <w:r>
              <w:rPr>
                <w:sz w:val="17"/>
              </w:rPr>
              <w:t>9</w:t>
            </w:r>
          </w:p>
        </w:tc>
        <w:tc>
          <w:tcPr>
            <w:tcW w:type="dxa" w:w="1694"/>
            <w:vAlign w:val="center"/>
          </w:tcPr>
          <w:p>
            <w:pPr>
              <w:spacing w:after="0" w:before="0"/>
            </w:pPr>
            <w:r>
              <w:rPr>
                <w:sz w:val="17"/>
              </w:rPr>
            </w:r>
            <w:r>
              <w:rPr>
                <w:sz w:val="17"/>
              </w:rPr>
              <w:t>1.6719</w:t>
            </w:r>
          </w:p>
        </w:tc>
        <w:tc>
          <w:tcPr>
            <w:tcW w:type="dxa" w:w="1694"/>
            <w:vAlign w:val="center"/>
          </w:tcPr>
          <w:p>
            <w:pPr>
              <w:spacing w:after="0" w:before="0"/>
            </w:pPr>
            <w:r>
              <w:rPr>
                <w:sz w:val="17"/>
              </w:rPr>
            </w:r>
            <w:r>
              <w:rPr>
                <w:sz w:val="17"/>
              </w:rPr>
              <w:t>1.5096</w:t>
            </w:r>
          </w:p>
        </w:tc>
        <w:tc>
          <w:tcPr>
            <w:tcW w:type="dxa" w:w="1694"/>
            <w:vAlign w:val="center"/>
          </w:tcPr>
          <w:p>
            <w:pPr>
              <w:spacing w:after="0" w:before="0"/>
            </w:pPr>
            <w:r>
              <w:rPr>
                <w:sz w:val="17"/>
              </w:rPr>
            </w:r>
            <w:r>
              <w:rPr>
                <w:sz w:val="17"/>
              </w:rPr>
              <w:t>1.6484</w:t>
            </w:r>
          </w:p>
        </w:tc>
        <w:tc>
          <w:tcPr>
            <w:tcW w:type="dxa" w:w="1694"/>
            <w:vAlign w:val="center"/>
          </w:tcPr>
          <w:p>
            <w:pPr>
              <w:spacing w:after="0" w:before="0"/>
            </w:pPr>
            <w:r>
              <w:rPr>
                <w:sz w:val="17"/>
              </w:rPr>
            </w:r>
            <w:r>
              <w:rPr>
                <w:sz w:val="17"/>
              </w:rPr>
              <w:t>D4 reused after departure</w:t>
            </w:r>
          </w:p>
        </w:tc>
      </w:tr>
    </w:tbl>
    <w:p>
      <w:pPr>
        <w:spacing w:after="0"/>
      </w:pPr>
    </w:p>
    <w:p>
      <w:r>
        <w:t>Four distinct Indian deltas arrived. D1 was first used in Round 3, D2 in Round 4, D3 in Rounds 5–6, and D4 in Round 7. No new Indian model update arrived after D4. The peer left at 00:15:44, between Rounds 7 and 8, but the persisted D4 file remained available and was loaded again in every subsequent round.</w:t>
      </w:r>
    </w:p>
    <w:tbl>
      <w:tblPr>
        <w:tblStyle w:val="TableGrid"/>
        <w:tblW w:type="auto" w:w="0"/>
        <w:tblLayout w:type="autofit"/>
        <w:tblLook w:firstColumn="1" w:firstRow="1" w:lastColumn="0" w:lastRow="0" w:noHBand="0" w:noVBand="1" w:val="04A0"/>
      </w:tblPr>
      <w:tblGrid>
        <w:gridCol w:w="3389"/>
        <w:gridCol w:w="3389"/>
        <w:gridCol w:w="3389"/>
      </w:tblGrid>
      <w:tr>
        <w:tc>
          <w:tcPr>
            <w:tcW w:type="dxa" w:w="3389"/>
            <w:vAlign w:val="center"/>
            <w:shd w:fill="D9EAF7"/>
          </w:tcPr>
          <w:p>
            <w:pPr>
              <w:spacing w:after="0" w:before="0"/>
            </w:pPr>
            <w:r>
              <w:rPr>
                <w:b/>
                <w:sz w:val="17"/>
              </w:rPr>
            </w:r>
            <w:r>
              <w:rPr>
                <w:b/>
                <w:sz w:val="17"/>
              </w:rPr>
              <w:t>Australian rounds</w:t>
            </w:r>
          </w:p>
        </w:tc>
        <w:tc>
          <w:tcPr>
            <w:tcW w:type="dxa" w:w="3389"/>
            <w:vAlign w:val="center"/>
            <w:shd w:fill="D9EAF7"/>
          </w:tcPr>
          <w:p>
            <w:pPr>
              <w:spacing w:after="0" w:before="0"/>
            </w:pPr>
            <w:r>
              <w:rPr>
                <w:b/>
                <w:sz w:val="17"/>
              </w:rPr>
            </w:r>
            <w:r>
              <w:rPr>
                <w:b/>
                <w:sz w:val="17"/>
              </w:rPr>
              <w:t>Delta used</w:t>
            </w:r>
          </w:p>
        </w:tc>
        <w:tc>
          <w:tcPr>
            <w:tcW w:type="dxa" w:w="3389"/>
            <w:vAlign w:val="center"/>
            <w:shd w:fill="D9EAF7"/>
          </w:tcPr>
          <w:p>
            <w:pPr>
              <w:spacing w:after="0" w:before="0"/>
            </w:pPr>
            <w:r>
              <w:rPr>
                <w:b/>
                <w:sz w:val="17"/>
              </w:rPr>
            </w:r>
            <w:r>
              <w:rPr>
                <w:b/>
                <w:sz w:val="17"/>
              </w:rPr>
              <w:t>Interpretation</w:t>
            </w:r>
          </w:p>
        </w:tc>
      </w:tr>
      <w:tr>
        <w:tc>
          <w:tcPr>
            <w:tcW w:type="dxa" w:w="3389"/>
            <w:vAlign w:val="center"/>
          </w:tcPr>
          <w:p>
            <w:pPr>
              <w:spacing w:after="0" w:before="0"/>
            </w:pPr>
            <w:r>
              <w:rPr>
                <w:sz w:val="17"/>
              </w:rPr>
            </w:r>
            <w:r>
              <w:rPr>
                <w:sz w:val="17"/>
              </w:rPr>
              <w:t>R1–R2</w:t>
            </w:r>
          </w:p>
        </w:tc>
        <w:tc>
          <w:tcPr>
            <w:tcW w:type="dxa" w:w="3389"/>
            <w:vAlign w:val="center"/>
          </w:tcPr>
          <w:p>
            <w:pPr>
              <w:spacing w:after="0" w:before="0"/>
            </w:pPr>
            <w:r>
              <w:rPr>
                <w:sz w:val="17"/>
              </w:rPr>
            </w:r>
            <w:r>
              <w:rPr>
                <w:sz w:val="17"/>
              </w:rPr>
              <w:t>None</w:t>
            </w:r>
          </w:p>
        </w:tc>
        <w:tc>
          <w:tcPr>
            <w:tcW w:type="dxa" w:w="3389"/>
            <w:vAlign w:val="center"/>
          </w:tcPr>
          <w:p>
            <w:pPr>
              <w:spacing w:after="0" w:before="0"/>
            </w:pPr>
            <w:r>
              <w:rPr>
                <w:sz w:val="17"/>
              </w:rPr>
            </w:r>
            <w:r>
              <w:rPr>
                <w:sz w:val="17"/>
              </w:rPr>
              <w:t>Australian local training before the first remote update was available</w:t>
            </w:r>
          </w:p>
        </w:tc>
      </w:tr>
      <w:tr>
        <w:tc>
          <w:tcPr>
            <w:tcW w:type="dxa" w:w="3389"/>
            <w:vAlign w:val="center"/>
          </w:tcPr>
          <w:p>
            <w:pPr>
              <w:spacing w:after="0" w:before="0"/>
            </w:pPr>
            <w:r>
              <w:rPr>
                <w:sz w:val="17"/>
              </w:rPr>
            </w:r>
            <w:r>
              <w:rPr>
                <w:sz w:val="17"/>
              </w:rPr>
              <w:t>R3</w:t>
            </w:r>
          </w:p>
        </w:tc>
        <w:tc>
          <w:tcPr>
            <w:tcW w:type="dxa" w:w="3389"/>
            <w:vAlign w:val="center"/>
          </w:tcPr>
          <w:p>
            <w:pPr>
              <w:spacing w:after="0" w:before="0"/>
            </w:pPr>
            <w:r>
              <w:rPr>
                <w:sz w:val="17"/>
              </w:rPr>
            </w:r>
            <w:r>
              <w:rPr>
                <w:sz w:val="17"/>
              </w:rPr>
              <w:t>D1</w:t>
            </w:r>
          </w:p>
        </w:tc>
        <w:tc>
          <w:tcPr>
            <w:tcW w:type="dxa" w:w="3389"/>
            <w:vAlign w:val="center"/>
          </w:tcPr>
          <w:p>
            <w:pPr>
              <w:spacing w:after="0" w:before="0"/>
            </w:pPr>
            <w:r>
              <w:rPr>
                <w:sz w:val="17"/>
              </w:rPr>
            </w:r>
            <w:r>
              <w:rPr>
                <w:sz w:val="17"/>
              </w:rPr>
              <w:t>First distinct Indian update</w:t>
            </w:r>
          </w:p>
        </w:tc>
      </w:tr>
      <w:tr>
        <w:tc>
          <w:tcPr>
            <w:tcW w:type="dxa" w:w="3389"/>
            <w:vAlign w:val="center"/>
          </w:tcPr>
          <w:p>
            <w:pPr>
              <w:spacing w:after="0" w:before="0"/>
            </w:pPr>
            <w:r>
              <w:rPr>
                <w:sz w:val="17"/>
              </w:rPr>
            </w:r>
            <w:r>
              <w:rPr>
                <w:sz w:val="17"/>
              </w:rPr>
              <w:t>R4</w:t>
            </w:r>
          </w:p>
        </w:tc>
        <w:tc>
          <w:tcPr>
            <w:tcW w:type="dxa" w:w="3389"/>
            <w:vAlign w:val="center"/>
          </w:tcPr>
          <w:p>
            <w:pPr>
              <w:spacing w:after="0" w:before="0"/>
            </w:pPr>
            <w:r>
              <w:rPr>
                <w:sz w:val="17"/>
              </w:rPr>
            </w:r>
            <w:r>
              <w:rPr>
                <w:sz w:val="17"/>
              </w:rPr>
              <w:t>D2</w:t>
            </w:r>
          </w:p>
        </w:tc>
        <w:tc>
          <w:tcPr>
            <w:tcW w:type="dxa" w:w="3389"/>
            <w:vAlign w:val="center"/>
          </w:tcPr>
          <w:p>
            <w:pPr>
              <w:spacing w:after="0" w:before="0"/>
            </w:pPr>
            <w:r>
              <w:rPr>
                <w:sz w:val="17"/>
              </w:rPr>
            </w:r>
            <w:r>
              <w:rPr>
                <w:sz w:val="17"/>
              </w:rPr>
              <w:t>Second distinct Indian update</w:t>
            </w:r>
          </w:p>
        </w:tc>
      </w:tr>
      <w:tr>
        <w:tc>
          <w:tcPr>
            <w:tcW w:type="dxa" w:w="3389"/>
            <w:vAlign w:val="center"/>
          </w:tcPr>
          <w:p>
            <w:pPr>
              <w:spacing w:after="0" w:before="0"/>
            </w:pPr>
            <w:r>
              <w:rPr>
                <w:sz w:val="17"/>
              </w:rPr>
            </w:r>
            <w:r>
              <w:rPr>
                <w:sz w:val="17"/>
              </w:rPr>
              <w:t>R5</w:t>
            </w:r>
          </w:p>
        </w:tc>
        <w:tc>
          <w:tcPr>
            <w:tcW w:type="dxa" w:w="3389"/>
            <w:vAlign w:val="center"/>
          </w:tcPr>
          <w:p>
            <w:pPr>
              <w:spacing w:after="0" w:before="0"/>
            </w:pPr>
            <w:r>
              <w:rPr>
                <w:sz w:val="17"/>
              </w:rPr>
            </w:r>
            <w:r>
              <w:rPr>
                <w:sz w:val="17"/>
              </w:rPr>
              <w:t>D3</w:t>
            </w:r>
          </w:p>
        </w:tc>
        <w:tc>
          <w:tcPr>
            <w:tcW w:type="dxa" w:w="3389"/>
            <w:vAlign w:val="center"/>
          </w:tcPr>
          <w:p>
            <w:pPr>
              <w:spacing w:after="0" w:before="0"/>
            </w:pPr>
            <w:r>
              <w:rPr>
                <w:sz w:val="17"/>
              </w:rPr>
            </w:r>
            <w:r>
              <w:rPr>
                <w:sz w:val="17"/>
              </w:rPr>
              <w:t>Third distinct Indian update</w:t>
            </w:r>
          </w:p>
        </w:tc>
      </w:tr>
      <w:tr>
        <w:tc>
          <w:tcPr>
            <w:tcW w:type="dxa" w:w="3389"/>
            <w:vAlign w:val="center"/>
          </w:tcPr>
          <w:p>
            <w:pPr>
              <w:spacing w:after="0" w:before="0"/>
            </w:pPr>
            <w:r>
              <w:rPr>
                <w:sz w:val="17"/>
              </w:rPr>
            </w:r>
            <w:r>
              <w:rPr>
                <w:sz w:val="17"/>
              </w:rPr>
              <w:t>R6</w:t>
            </w:r>
          </w:p>
        </w:tc>
        <w:tc>
          <w:tcPr>
            <w:tcW w:type="dxa" w:w="3389"/>
            <w:vAlign w:val="center"/>
          </w:tcPr>
          <w:p>
            <w:pPr>
              <w:spacing w:after="0" w:before="0"/>
            </w:pPr>
            <w:r>
              <w:rPr>
                <w:sz w:val="17"/>
              </w:rPr>
            </w:r>
            <w:r>
              <w:rPr>
                <w:sz w:val="17"/>
              </w:rPr>
              <w:t>D3</w:t>
            </w:r>
          </w:p>
        </w:tc>
        <w:tc>
          <w:tcPr>
            <w:tcW w:type="dxa" w:w="3389"/>
            <w:vAlign w:val="center"/>
          </w:tcPr>
          <w:p>
            <w:pPr>
              <w:spacing w:after="0" w:before="0"/>
            </w:pPr>
            <w:r>
              <w:rPr>
                <w:sz w:val="17"/>
              </w:rPr>
            </w:r>
            <w:r>
              <w:rPr>
                <w:sz w:val="17"/>
              </w:rPr>
              <w:t>Same update reused; D4 arrived later in the round</w:t>
            </w:r>
          </w:p>
        </w:tc>
      </w:tr>
      <w:tr>
        <w:tc>
          <w:tcPr>
            <w:tcW w:type="dxa" w:w="3389"/>
            <w:vAlign w:val="center"/>
          </w:tcPr>
          <w:p>
            <w:pPr>
              <w:spacing w:after="0" w:before="0"/>
            </w:pPr>
            <w:r>
              <w:rPr>
                <w:sz w:val="17"/>
              </w:rPr>
            </w:r>
            <w:r>
              <w:rPr>
                <w:sz w:val="17"/>
              </w:rPr>
              <w:t>R7</w:t>
            </w:r>
          </w:p>
        </w:tc>
        <w:tc>
          <w:tcPr>
            <w:tcW w:type="dxa" w:w="3389"/>
            <w:vAlign w:val="center"/>
          </w:tcPr>
          <w:p>
            <w:pPr>
              <w:spacing w:after="0" w:before="0"/>
            </w:pPr>
            <w:r>
              <w:rPr>
                <w:sz w:val="17"/>
              </w:rPr>
            </w:r>
            <w:r>
              <w:rPr>
                <w:sz w:val="17"/>
              </w:rPr>
              <w:t>D4</w:t>
            </w:r>
          </w:p>
        </w:tc>
        <w:tc>
          <w:tcPr>
            <w:tcW w:type="dxa" w:w="3389"/>
            <w:vAlign w:val="center"/>
          </w:tcPr>
          <w:p>
            <w:pPr>
              <w:spacing w:after="0" w:before="0"/>
            </w:pPr>
            <w:r>
              <w:rPr>
                <w:sz w:val="17"/>
              </w:rPr>
            </w:r>
            <w:r>
              <w:rPr>
                <w:sz w:val="17"/>
              </w:rPr>
              <w:t>Fourth and final distinct Indian update; last active-peer checkpoint</w:t>
            </w:r>
          </w:p>
        </w:tc>
      </w:tr>
      <w:tr>
        <w:tc>
          <w:tcPr>
            <w:tcW w:type="dxa" w:w="3389"/>
            <w:vAlign w:val="center"/>
          </w:tcPr>
          <w:p>
            <w:pPr>
              <w:spacing w:after="0" w:before="0"/>
            </w:pPr>
            <w:r>
              <w:rPr>
                <w:sz w:val="17"/>
              </w:rPr>
            </w:r>
            <w:r>
              <w:rPr>
                <w:sz w:val="17"/>
              </w:rPr>
              <w:t>R8–R16</w:t>
            </w:r>
          </w:p>
        </w:tc>
        <w:tc>
          <w:tcPr>
            <w:tcW w:type="dxa" w:w="3389"/>
            <w:vAlign w:val="center"/>
          </w:tcPr>
          <w:p>
            <w:pPr>
              <w:spacing w:after="0" w:before="0"/>
            </w:pPr>
            <w:r>
              <w:rPr>
                <w:sz w:val="17"/>
              </w:rPr>
            </w:r>
            <w:r>
              <w:rPr>
                <w:sz w:val="17"/>
              </w:rPr>
              <w:t>D4</w:t>
            </w:r>
          </w:p>
        </w:tc>
        <w:tc>
          <w:tcPr>
            <w:tcW w:type="dxa" w:w="3389"/>
            <w:vAlign w:val="center"/>
          </w:tcPr>
          <w:p>
            <w:pPr>
              <w:spacing w:after="0" w:before="0"/>
            </w:pPr>
            <w:r>
              <w:rPr>
                <w:sz w:val="17"/>
              </w:rPr>
            </w:r>
            <w:r>
              <w:rPr>
                <w:sz w:val="17"/>
              </w:rPr>
              <w:t>Stale update repeatedly loaded after the Indian peer departed</w:t>
            </w:r>
          </w:p>
        </w:tc>
      </w:tr>
    </w:tbl>
    <w:p>
      <w:pPr>
        <w:spacing w:after="0"/>
      </w:pPr>
    </w:p>
    <w:p>
      <w:pPr>
        <w:pStyle w:val="Heading1"/>
      </w:pPr>
      <w:r>
        <w:t>GlobalOpinionQA evaluation</w:t>
      </w:r>
    </w:p>
    <w:p>
      <w:r>
        <w:t>Evaluation used the standalone shared GOQA package and directly loaded the base model plus LoRA adapters. The dataset contains 1,106 questions with at least one Australia, New Zealand, or Indian human distribution. Five deterministic option-order prompts were evaluated per question. The score is Jensen–Shannon distance between the model option distribution and the available human distribution; lower is better. The evaluation covered 626 Australia pairs, 273 New Zealand pairs, and 932 Indian sample-frame pairs.</w:t>
      </w:r>
    </w:p>
    <w:p>
      <w:pPr>
        <w:jc w:val="center"/>
      </w:pPr>
      <w:r>
        <w:drawing>
          <wp:inline xmlns:a="http://schemas.openxmlformats.org/drawingml/2006/main" xmlns:pic="http://schemas.openxmlformats.org/drawingml/2006/picture">
            <wp:extent cx="6263640" cy="3512767"/>
            <wp:docPr id="2" name="Picture 2"/>
            <wp:cNvGraphicFramePr>
              <a:graphicFrameLocks noChangeAspect="1"/>
            </wp:cNvGraphicFramePr>
            <a:graphic>
              <a:graphicData uri="http://schemas.openxmlformats.org/drawingml/2006/picture">
                <pic:pic>
                  <pic:nvPicPr>
                    <pic:cNvPr id="0" name="goqa_trajectory.png"/>
                    <pic:cNvPicPr/>
                  </pic:nvPicPr>
                  <pic:blipFill>
                    <a:blip r:embed="rId11"/>
                    <a:stretch>
                      <a:fillRect/>
                    </a:stretch>
                  </pic:blipFill>
                  <pic:spPr>
                    <a:xfrm>
                      <a:off x="0" y="0"/>
                      <a:ext cx="6263640" cy="3512767"/>
                    </a:xfrm>
                    <a:prstGeom prst="rect"/>
                  </pic:spPr>
                </pic:pic>
              </a:graphicData>
            </a:graphic>
          </wp:inline>
        </w:drawing>
      </w:r>
    </w:p>
    <w:p>
      <w:pPr>
        <w:jc w:val="center"/>
      </w:pPr>
      <w:r>
        <w:rPr>
          <w:i/>
          <w:sz w:val="18"/>
        </w:rPr>
        <w:t>Figure 2. GOQA trajectory before and after the Indian peer departure.</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pPr>
              <w:spacing w:after="0" w:before="0"/>
            </w:pPr>
            <w:r>
              <w:rPr>
                <w:b/>
                <w:sz w:val="17"/>
              </w:rPr>
            </w:r>
            <w:r>
              <w:rPr>
                <w:b/>
                <w:sz w:val="17"/>
              </w:rPr>
              <w:t>Model state</w:t>
            </w:r>
          </w:p>
        </w:tc>
        <w:tc>
          <w:tcPr>
            <w:tcW w:type="dxa" w:w="1694"/>
            <w:vAlign w:val="center"/>
            <w:shd w:fill="D9EAF7"/>
          </w:tcPr>
          <w:p>
            <w:pPr>
              <w:spacing w:after="0" w:before="0"/>
            </w:pPr>
            <w:r>
              <w:rPr>
                <w:b/>
                <w:sz w:val="17"/>
              </w:rPr>
            </w:r>
            <w:r>
              <w:rPr>
                <w:b/>
                <w:sz w:val="17"/>
              </w:rPr>
              <w:t>Delta</w:t>
            </w:r>
          </w:p>
        </w:tc>
        <w:tc>
          <w:tcPr>
            <w:tcW w:type="dxa" w:w="1694"/>
            <w:vAlign w:val="center"/>
            <w:shd w:fill="D9EAF7"/>
          </w:tcPr>
          <w:p>
            <w:pPr>
              <w:spacing w:after="0" w:before="0"/>
            </w:pPr>
            <w:r>
              <w:rPr>
                <w:b/>
                <w:sz w:val="17"/>
              </w:rPr>
            </w:r>
            <w:r>
              <w:rPr>
                <w:b/>
                <w:sz w:val="17"/>
              </w:rPr>
              <w:t>Australia/NZ JSD</w:t>
            </w:r>
          </w:p>
        </w:tc>
        <w:tc>
          <w:tcPr>
            <w:tcW w:type="dxa" w:w="1694"/>
            <w:vAlign w:val="center"/>
            <w:shd w:fill="D9EAF7"/>
          </w:tcPr>
          <w:p>
            <w:pPr>
              <w:spacing w:after="0" w:before="0"/>
            </w:pPr>
            <w:r>
              <w:rPr>
                <w:b/>
                <w:sz w:val="17"/>
              </w:rPr>
            </w:r>
            <w:r>
              <w:rPr>
                <w:b/>
                <w:sz w:val="17"/>
              </w:rPr>
              <w:t>India JSD</w:t>
            </w:r>
          </w:p>
        </w:tc>
        <w:tc>
          <w:tcPr>
            <w:tcW w:type="dxa" w:w="1694"/>
            <w:vAlign w:val="center"/>
            <w:shd w:fill="D9EAF7"/>
          </w:tcPr>
          <w:p>
            <w:pPr>
              <w:spacing w:after="0" w:before="0"/>
            </w:pPr>
            <w:r>
              <w:rPr>
                <w:b/>
                <w:sz w:val="17"/>
              </w:rPr>
            </w:r>
            <w:r>
              <w:rPr>
                <w:b/>
                <w:sz w:val="17"/>
              </w:rPr>
              <w:t>Equal two-region JSD</w:t>
            </w:r>
          </w:p>
        </w:tc>
        <w:tc>
          <w:tcPr>
            <w:tcW w:type="dxa" w:w="1694"/>
            <w:vAlign w:val="center"/>
            <w:shd w:fill="D9EAF7"/>
          </w:tcPr>
          <w:p>
            <w:pPr>
              <w:spacing w:after="0" w:before="0"/>
            </w:pPr>
            <w:r>
              <w:rPr>
                <w:b/>
                <w:sz w:val="17"/>
              </w:rPr>
            </w:r>
            <w:r>
              <w:rPr>
                <w:b/>
                <w:sz w:val="17"/>
              </w:rPr>
              <w:t>Relative change vs base</w:t>
            </w:r>
          </w:p>
        </w:tc>
      </w:tr>
      <w:tr>
        <w:tc>
          <w:tcPr>
            <w:tcW w:type="dxa" w:w="1694"/>
            <w:vAlign w:val="center"/>
          </w:tcPr>
          <w:p>
            <w:pPr>
              <w:spacing w:after="0" w:before="0"/>
            </w:pPr>
            <w:r>
              <w:rPr>
                <w:sz w:val="17"/>
              </w:rPr>
            </w:r>
            <w:r>
              <w:rPr>
                <w:sz w:val="17"/>
              </w:rPr>
              <w:t>Base</w:t>
            </w:r>
          </w:p>
        </w:tc>
        <w:tc>
          <w:tcPr>
            <w:tcW w:type="dxa" w:w="1694"/>
            <w:vAlign w:val="center"/>
          </w:tcPr>
          <w:p>
            <w:pPr>
              <w:spacing w:after="0" w:before="0"/>
            </w:pPr>
            <w:r>
              <w:rPr>
                <w:sz w:val="17"/>
              </w:rPr>
            </w:r>
            <w:r>
              <w:rPr>
                <w:sz w:val="17"/>
              </w:rPr>
              <w:t>None</w:t>
            </w:r>
          </w:p>
        </w:tc>
        <w:tc>
          <w:tcPr>
            <w:tcW w:type="dxa" w:w="1694"/>
            <w:vAlign w:val="center"/>
          </w:tcPr>
          <w:p>
            <w:pPr>
              <w:spacing w:after="0" w:before="0"/>
            </w:pPr>
            <w:r>
              <w:rPr>
                <w:sz w:val="17"/>
              </w:rPr>
            </w:r>
            <w:r>
              <w:rPr>
                <w:sz w:val="17"/>
              </w:rPr>
              <w:t>0.488578</w:t>
            </w:r>
          </w:p>
        </w:tc>
        <w:tc>
          <w:tcPr>
            <w:tcW w:type="dxa" w:w="1694"/>
            <w:vAlign w:val="center"/>
          </w:tcPr>
          <w:p>
            <w:pPr>
              <w:spacing w:after="0" w:before="0"/>
            </w:pPr>
            <w:r>
              <w:rPr>
                <w:sz w:val="17"/>
              </w:rPr>
            </w:r>
            <w:r>
              <w:rPr>
                <w:sz w:val="17"/>
              </w:rPr>
              <w:t>0.323637</w:t>
            </w:r>
          </w:p>
        </w:tc>
        <w:tc>
          <w:tcPr>
            <w:tcW w:type="dxa" w:w="1694"/>
            <w:vAlign w:val="center"/>
          </w:tcPr>
          <w:p>
            <w:pPr>
              <w:spacing w:after="0" w:before="0"/>
            </w:pPr>
            <w:r>
              <w:rPr>
                <w:sz w:val="17"/>
              </w:rPr>
            </w:r>
            <w:r>
              <w:rPr>
                <w:sz w:val="17"/>
              </w:rPr>
              <w:t>0.406107</w:t>
            </w:r>
          </w:p>
        </w:tc>
        <w:tc>
          <w:tcPr>
            <w:tcW w:type="dxa" w:w="1694"/>
            <w:vAlign w:val="center"/>
          </w:tcPr>
          <w:p>
            <w:pPr>
              <w:spacing w:after="0" w:before="0"/>
            </w:pPr>
            <w:r>
              <w:rPr>
                <w:sz w:val="17"/>
              </w:rPr>
            </w:r>
            <w:r>
              <w:rPr>
                <w:sz w:val="17"/>
              </w:rPr>
              <w:t>—</w:t>
            </w:r>
          </w:p>
        </w:tc>
      </w:tr>
      <w:tr>
        <w:tc>
          <w:tcPr>
            <w:tcW w:type="dxa" w:w="1694"/>
            <w:vAlign w:val="center"/>
          </w:tcPr>
          <w:p>
            <w:pPr>
              <w:spacing w:after="0" w:before="0"/>
            </w:pPr>
            <w:r>
              <w:rPr>
                <w:sz w:val="17"/>
              </w:rPr>
            </w:r>
            <w:r>
              <w:rPr>
                <w:sz w:val="17"/>
              </w:rPr>
              <w:t>Round 1</w:t>
            </w:r>
          </w:p>
        </w:tc>
        <w:tc>
          <w:tcPr>
            <w:tcW w:type="dxa" w:w="1694"/>
            <w:vAlign w:val="center"/>
          </w:tcPr>
          <w:p>
            <w:pPr>
              <w:spacing w:after="0" w:before="0"/>
            </w:pPr>
            <w:r>
              <w:rPr>
                <w:sz w:val="17"/>
              </w:rPr>
            </w:r>
            <w:r>
              <w:rPr>
                <w:sz w:val="17"/>
              </w:rPr>
              <w:t>None</w:t>
            </w:r>
          </w:p>
        </w:tc>
        <w:tc>
          <w:tcPr>
            <w:tcW w:type="dxa" w:w="1694"/>
            <w:vAlign w:val="center"/>
          </w:tcPr>
          <w:p>
            <w:pPr>
              <w:spacing w:after="0" w:before="0"/>
            </w:pPr>
            <w:r>
              <w:rPr>
                <w:sz w:val="17"/>
              </w:rPr>
            </w:r>
            <w:r>
              <w:rPr>
                <w:sz w:val="17"/>
              </w:rPr>
              <w:t>0.485151</w:t>
            </w:r>
          </w:p>
        </w:tc>
        <w:tc>
          <w:tcPr>
            <w:tcW w:type="dxa" w:w="1694"/>
            <w:vAlign w:val="center"/>
          </w:tcPr>
          <w:p>
            <w:pPr>
              <w:spacing w:after="0" w:before="0"/>
            </w:pPr>
            <w:r>
              <w:rPr>
                <w:sz w:val="17"/>
              </w:rPr>
            </w:r>
            <w:r>
              <w:rPr>
                <w:sz w:val="17"/>
              </w:rPr>
              <w:t>0.321212</w:t>
            </w:r>
          </w:p>
        </w:tc>
        <w:tc>
          <w:tcPr>
            <w:tcW w:type="dxa" w:w="1694"/>
            <w:vAlign w:val="center"/>
          </w:tcPr>
          <w:p>
            <w:pPr>
              <w:spacing w:after="0" w:before="0"/>
            </w:pPr>
            <w:r>
              <w:rPr>
                <w:sz w:val="17"/>
              </w:rPr>
            </w:r>
            <w:r>
              <w:rPr>
                <w:sz w:val="17"/>
              </w:rPr>
              <w:t>0.403182</w:t>
            </w:r>
          </w:p>
        </w:tc>
        <w:tc>
          <w:tcPr>
            <w:tcW w:type="dxa" w:w="1694"/>
            <w:vAlign w:val="center"/>
          </w:tcPr>
          <w:p>
            <w:pPr>
              <w:spacing w:after="0" w:before="0"/>
            </w:pPr>
            <w:r>
              <w:rPr>
                <w:sz w:val="17"/>
              </w:rPr>
            </w:r>
            <w:r>
              <w:rPr>
                <w:sz w:val="17"/>
              </w:rPr>
              <w:t>−0.72%</w:t>
            </w:r>
          </w:p>
        </w:tc>
      </w:tr>
      <w:tr>
        <w:tc>
          <w:tcPr>
            <w:tcW w:type="dxa" w:w="1694"/>
            <w:vAlign w:val="center"/>
          </w:tcPr>
          <w:p>
            <w:pPr>
              <w:spacing w:after="0" w:before="0"/>
            </w:pPr>
            <w:r>
              <w:rPr>
                <w:sz w:val="17"/>
              </w:rPr>
            </w:r>
            <w:r>
              <w:rPr>
                <w:sz w:val="17"/>
              </w:rPr>
              <w:t>Round 2</w:t>
            </w:r>
          </w:p>
        </w:tc>
        <w:tc>
          <w:tcPr>
            <w:tcW w:type="dxa" w:w="1694"/>
            <w:vAlign w:val="center"/>
          </w:tcPr>
          <w:p>
            <w:pPr>
              <w:spacing w:after="0" w:before="0"/>
            </w:pPr>
            <w:r>
              <w:rPr>
                <w:sz w:val="17"/>
              </w:rPr>
            </w:r>
            <w:r>
              <w:rPr>
                <w:sz w:val="17"/>
              </w:rPr>
              <w:t>None</w:t>
            </w:r>
          </w:p>
        </w:tc>
        <w:tc>
          <w:tcPr>
            <w:tcW w:type="dxa" w:w="1694"/>
            <w:vAlign w:val="center"/>
          </w:tcPr>
          <w:p>
            <w:pPr>
              <w:spacing w:after="0" w:before="0"/>
            </w:pPr>
            <w:r>
              <w:rPr>
                <w:sz w:val="17"/>
              </w:rPr>
            </w:r>
            <w:r>
              <w:rPr>
                <w:sz w:val="17"/>
              </w:rPr>
              <w:t>0.474369</w:t>
            </w:r>
          </w:p>
        </w:tc>
        <w:tc>
          <w:tcPr>
            <w:tcW w:type="dxa" w:w="1694"/>
            <w:vAlign w:val="center"/>
          </w:tcPr>
          <w:p>
            <w:pPr>
              <w:spacing w:after="0" w:before="0"/>
            </w:pPr>
            <w:r>
              <w:rPr>
                <w:sz w:val="17"/>
              </w:rPr>
            </w:r>
            <w:r>
              <w:rPr>
                <w:sz w:val="17"/>
              </w:rPr>
              <w:t>0.313851</w:t>
            </w:r>
          </w:p>
        </w:tc>
        <w:tc>
          <w:tcPr>
            <w:tcW w:type="dxa" w:w="1694"/>
            <w:vAlign w:val="center"/>
          </w:tcPr>
          <w:p>
            <w:pPr>
              <w:spacing w:after="0" w:before="0"/>
            </w:pPr>
            <w:r>
              <w:rPr>
                <w:sz w:val="17"/>
              </w:rPr>
            </w:r>
            <w:r>
              <w:rPr>
                <w:sz w:val="17"/>
              </w:rPr>
              <w:t>0.394110</w:t>
            </w:r>
          </w:p>
        </w:tc>
        <w:tc>
          <w:tcPr>
            <w:tcW w:type="dxa" w:w="1694"/>
            <w:vAlign w:val="center"/>
          </w:tcPr>
          <w:p>
            <w:pPr>
              <w:spacing w:after="0" w:before="0"/>
            </w:pPr>
            <w:r>
              <w:rPr>
                <w:sz w:val="17"/>
              </w:rPr>
            </w:r>
            <w:r>
              <w:rPr>
                <w:sz w:val="17"/>
              </w:rPr>
              <w:t>−2.95%</w:t>
            </w:r>
          </w:p>
        </w:tc>
      </w:tr>
      <w:tr>
        <w:tc>
          <w:tcPr>
            <w:tcW w:type="dxa" w:w="1694"/>
            <w:vAlign w:val="center"/>
          </w:tcPr>
          <w:p>
            <w:pPr>
              <w:spacing w:after="0" w:before="0"/>
            </w:pPr>
            <w:r>
              <w:rPr>
                <w:sz w:val="17"/>
              </w:rPr>
            </w:r>
            <w:r>
              <w:rPr>
                <w:sz w:val="17"/>
              </w:rPr>
              <w:t>Round 3</w:t>
            </w:r>
          </w:p>
        </w:tc>
        <w:tc>
          <w:tcPr>
            <w:tcW w:type="dxa" w:w="1694"/>
            <w:vAlign w:val="center"/>
          </w:tcPr>
          <w:p>
            <w:pPr>
              <w:spacing w:after="0" w:before="0"/>
            </w:pPr>
            <w:r>
              <w:rPr>
                <w:sz w:val="17"/>
              </w:rPr>
            </w:r>
            <w:r>
              <w:rPr>
                <w:sz w:val="17"/>
              </w:rPr>
              <w:t>D1</w:t>
            </w:r>
          </w:p>
        </w:tc>
        <w:tc>
          <w:tcPr>
            <w:tcW w:type="dxa" w:w="1694"/>
            <w:vAlign w:val="center"/>
          </w:tcPr>
          <w:p>
            <w:pPr>
              <w:spacing w:after="0" w:before="0"/>
            </w:pPr>
            <w:r>
              <w:rPr>
                <w:sz w:val="17"/>
              </w:rPr>
            </w:r>
            <w:r>
              <w:rPr>
                <w:sz w:val="17"/>
              </w:rPr>
              <w:t>0.468686</w:t>
            </w:r>
          </w:p>
        </w:tc>
        <w:tc>
          <w:tcPr>
            <w:tcW w:type="dxa" w:w="1694"/>
            <w:vAlign w:val="center"/>
          </w:tcPr>
          <w:p>
            <w:pPr>
              <w:spacing w:after="0" w:before="0"/>
            </w:pPr>
            <w:r>
              <w:rPr>
                <w:sz w:val="17"/>
              </w:rPr>
            </w:r>
            <w:r>
              <w:rPr>
                <w:sz w:val="17"/>
              </w:rPr>
              <w:t>0.310113</w:t>
            </w:r>
          </w:p>
        </w:tc>
        <w:tc>
          <w:tcPr>
            <w:tcW w:type="dxa" w:w="1694"/>
            <w:vAlign w:val="center"/>
          </w:tcPr>
          <w:p>
            <w:pPr>
              <w:spacing w:after="0" w:before="0"/>
            </w:pPr>
            <w:r>
              <w:rPr>
                <w:sz w:val="17"/>
              </w:rPr>
            </w:r>
            <w:r>
              <w:rPr>
                <w:sz w:val="17"/>
              </w:rPr>
              <w:t>0.389400</w:t>
            </w:r>
          </w:p>
        </w:tc>
        <w:tc>
          <w:tcPr>
            <w:tcW w:type="dxa" w:w="1694"/>
            <w:vAlign w:val="center"/>
          </w:tcPr>
          <w:p>
            <w:pPr>
              <w:spacing w:after="0" w:before="0"/>
            </w:pPr>
            <w:r>
              <w:rPr>
                <w:sz w:val="17"/>
              </w:rPr>
            </w:r>
            <w:r>
              <w:rPr>
                <w:sz w:val="17"/>
              </w:rPr>
              <w:t>−4.11%</w:t>
            </w:r>
          </w:p>
        </w:tc>
      </w:tr>
      <w:tr>
        <w:tc>
          <w:tcPr>
            <w:tcW w:type="dxa" w:w="1694"/>
            <w:vAlign w:val="center"/>
          </w:tcPr>
          <w:p>
            <w:pPr>
              <w:spacing w:after="0" w:before="0"/>
            </w:pPr>
            <w:r>
              <w:rPr>
                <w:sz w:val="17"/>
              </w:rPr>
            </w:r>
            <w:r>
              <w:rPr>
                <w:sz w:val="17"/>
              </w:rPr>
              <w:t>Round 4</w:t>
            </w:r>
          </w:p>
        </w:tc>
        <w:tc>
          <w:tcPr>
            <w:tcW w:type="dxa" w:w="1694"/>
            <w:vAlign w:val="center"/>
          </w:tcPr>
          <w:p>
            <w:pPr>
              <w:spacing w:after="0" w:before="0"/>
            </w:pPr>
            <w:r>
              <w:rPr>
                <w:sz w:val="17"/>
              </w:rPr>
            </w:r>
            <w:r>
              <w:rPr>
                <w:sz w:val="17"/>
              </w:rPr>
              <w:t>D2</w:t>
            </w:r>
          </w:p>
        </w:tc>
        <w:tc>
          <w:tcPr>
            <w:tcW w:type="dxa" w:w="1694"/>
            <w:vAlign w:val="center"/>
          </w:tcPr>
          <w:p>
            <w:pPr>
              <w:spacing w:after="0" w:before="0"/>
            </w:pPr>
            <w:r>
              <w:rPr>
                <w:sz w:val="17"/>
              </w:rPr>
            </w:r>
            <w:r>
              <w:rPr>
                <w:sz w:val="17"/>
              </w:rPr>
              <w:t>0.455833</w:t>
            </w:r>
          </w:p>
        </w:tc>
        <w:tc>
          <w:tcPr>
            <w:tcW w:type="dxa" w:w="1694"/>
            <w:vAlign w:val="center"/>
          </w:tcPr>
          <w:p>
            <w:pPr>
              <w:spacing w:after="0" w:before="0"/>
            </w:pPr>
            <w:r>
              <w:rPr>
                <w:sz w:val="17"/>
              </w:rPr>
            </w:r>
            <w:r>
              <w:rPr>
                <w:sz w:val="17"/>
              </w:rPr>
              <w:t>0.302070</w:t>
            </w:r>
          </w:p>
        </w:tc>
        <w:tc>
          <w:tcPr>
            <w:tcW w:type="dxa" w:w="1694"/>
            <w:vAlign w:val="center"/>
          </w:tcPr>
          <w:p>
            <w:pPr>
              <w:spacing w:after="0" w:before="0"/>
            </w:pPr>
            <w:r>
              <w:rPr>
                <w:sz w:val="17"/>
              </w:rPr>
            </w:r>
            <w:r>
              <w:rPr>
                <w:sz w:val="17"/>
              </w:rPr>
              <w:t>0.378951</w:t>
            </w:r>
          </w:p>
        </w:tc>
        <w:tc>
          <w:tcPr>
            <w:tcW w:type="dxa" w:w="1694"/>
            <w:vAlign w:val="center"/>
          </w:tcPr>
          <w:p>
            <w:pPr>
              <w:spacing w:after="0" w:before="0"/>
            </w:pPr>
            <w:r>
              <w:rPr>
                <w:sz w:val="17"/>
              </w:rPr>
            </w:r>
            <w:r>
              <w:rPr>
                <w:sz w:val="17"/>
              </w:rPr>
              <w:t>−6.69%</w:t>
            </w:r>
          </w:p>
        </w:tc>
      </w:tr>
      <w:tr>
        <w:tc>
          <w:tcPr>
            <w:tcW w:type="dxa" w:w="1694"/>
            <w:vAlign w:val="center"/>
          </w:tcPr>
          <w:p>
            <w:pPr>
              <w:spacing w:after="0" w:before="0"/>
            </w:pPr>
            <w:r>
              <w:rPr>
                <w:sz w:val="17"/>
              </w:rPr>
            </w:r>
            <w:r>
              <w:rPr>
                <w:sz w:val="17"/>
              </w:rPr>
              <w:t>Round 5</w:t>
            </w:r>
          </w:p>
        </w:tc>
        <w:tc>
          <w:tcPr>
            <w:tcW w:type="dxa" w:w="1694"/>
            <w:vAlign w:val="center"/>
          </w:tcPr>
          <w:p>
            <w:pPr>
              <w:spacing w:after="0" w:before="0"/>
            </w:pPr>
            <w:r>
              <w:rPr>
                <w:sz w:val="17"/>
              </w:rPr>
            </w:r>
            <w:r>
              <w:rPr>
                <w:sz w:val="17"/>
              </w:rPr>
              <w:t>D3</w:t>
            </w:r>
          </w:p>
        </w:tc>
        <w:tc>
          <w:tcPr>
            <w:tcW w:type="dxa" w:w="1694"/>
            <w:vAlign w:val="center"/>
          </w:tcPr>
          <w:p>
            <w:pPr>
              <w:spacing w:after="0" w:before="0"/>
            </w:pPr>
            <w:r>
              <w:rPr>
                <w:sz w:val="17"/>
              </w:rPr>
            </w:r>
            <w:r>
              <w:rPr>
                <w:sz w:val="17"/>
              </w:rPr>
              <w:t>0.442958</w:t>
            </w:r>
          </w:p>
        </w:tc>
        <w:tc>
          <w:tcPr>
            <w:tcW w:type="dxa" w:w="1694"/>
            <w:vAlign w:val="center"/>
          </w:tcPr>
          <w:p>
            <w:pPr>
              <w:spacing w:after="0" w:before="0"/>
            </w:pPr>
            <w:r>
              <w:rPr>
                <w:sz w:val="17"/>
              </w:rPr>
            </w:r>
            <w:r>
              <w:rPr>
                <w:sz w:val="17"/>
              </w:rPr>
              <w:t>0.295083</w:t>
            </w:r>
          </w:p>
        </w:tc>
        <w:tc>
          <w:tcPr>
            <w:tcW w:type="dxa" w:w="1694"/>
            <w:vAlign w:val="center"/>
          </w:tcPr>
          <w:p>
            <w:pPr>
              <w:spacing w:after="0" w:before="0"/>
            </w:pPr>
            <w:r>
              <w:rPr>
                <w:sz w:val="17"/>
              </w:rPr>
            </w:r>
            <w:r>
              <w:rPr>
                <w:sz w:val="17"/>
              </w:rPr>
              <w:t>0.369021</w:t>
            </w:r>
          </w:p>
        </w:tc>
        <w:tc>
          <w:tcPr>
            <w:tcW w:type="dxa" w:w="1694"/>
            <w:vAlign w:val="center"/>
          </w:tcPr>
          <w:p>
            <w:pPr>
              <w:spacing w:after="0" w:before="0"/>
            </w:pPr>
            <w:r>
              <w:rPr>
                <w:sz w:val="17"/>
              </w:rPr>
            </w:r>
            <w:r>
              <w:rPr>
                <w:sz w:val="17"/>
              </w:rPr>
              <w:t>−9.13%</w:t>
            </w:r>
          </w:p>
        </w:tc>
      </w:tr>
      <w:tr>
        <w:tc>
          <w:tcPr>
            <w:tcW w:type="dxa" w:w="1694"/>
            <w:vAlign w:val="center"/>
          </w:tcPr>
          <w:p>
            <w:pPr>
              <w:spacing w:after="0" w:before="0"/>
            </w:pPr>
            <w:r>
              <w:rPr>
                <w:sz w:val="17"/>
              </w:rPr>
            </w:r>
            <w:r>
              <w:rPr>
                <w:sz w:val="17"/>
              </w:rPr>
              <w:t>Round 6</w:t>
            </w:r>
          </w:p>
        </w:tc>
        <w:tc>
          <w:tcPr>
            <w:tcW w:type="dxa" w:w="1694"/>
            <w:vAlign w:val="center"/>
          </w:tcPr>
          <w:p>
            <w:pPr>
              <w:spacing w:after="0" w:before="0"/>
            </w:pPr>
            <w:r>
              <w:rPr>
                <w:sz w:val="17"/>
              </w:rPr>
            </w:r>
            <w:r>
              <w:rPr>
                <w:sz w:val="17"/>
              </w:rPr>
              <w:t>D3</w:t>
            </w:r>
          </w:p>
        </w:tc>
        <w:tc>
          <w:tcPr>
            <w:tcW w:type="dxa" w:w="1694"/>
            <w:vAlign w:val="center"/>
          </w:tcPr>
          <w:p>
            <w:pPr>
              <w:spacing w:after="0" w:before="0"/>
            </w:pPr>
            <w:r>
              <w:rPr>
                <w:sz w:val="17"/>
              </w:rPr>
            </w:r>
            <w:r>
              <w:rPr>
                <w:sz w:val="17"/>
              </w:rPr>
              <w:t>0.429509</w:t>
            </w:r>
          </w:p>
        </w:tc>
        <w:tc>
          <w:tcPr>
            <w:tcW w:type="dxa" w:w="1694"/>
            <w:vAlign w:val="center"/>
          </w:tcPr>
          <w:p>
            <w:pPr>
              <w:spacing w:after="0" w:before="0"/>
            </w:pPr>
            <w:r>
              <w:rPr>
                <w:sz w:val="17"/>
              </w:rPr>
            </w:r>
            <w:r>
              <w:rPr>
                <w:sz w:val="17"/>
              </w:rPr>
              <w:t>0.290274</w:t>
            </w:r>
          </w:p>
        </w:tc>
        <w:tc>
          <w:tcPr>
            <w:tcW w:type="dxa" w:w="1694"/>
            <w:vAlign w:val="center"/>
          </w:tcPr>
          <w:p>
            <w:pPr>
              <w:spacing w:after="0" w:before="0"/>
            </w:pPr>
            <w:r>
              <w:rPr>
                <w:sz w:val="17"/>
              </w:rPr>
            </w:r>
            <w:r>
              <w:rPr>
                <w:sz w:val="17"/>
              </w:rPr>
              <w:t>0.359891</w:t>
            </w:r>
          </w:p>
        </w:tc>
        <w:tc>
          <w:tcPr>
            <w:tcW w:type="dxa" w:w="1694"/>
            <w:vAlign w:val="center"/>
          </w:tcPr>
          <w:p>
            <w:pPr>
              <w:spacing w:after="0" w:before="0"/>
            </w:pPr>
            <w:r>
              <w:rPr>
                <w:sz w:val="17"/>
              </w:rPr>
            </w:r>
            <w:r>
              <w:rPr>
                <w:sz w:val="17"/>
              </w:rPr>
              <w:t>−11.38%</w:t>
            </w:r>
          </w:p>
        </w:tc>
      </w:tr>
      <w:tr>
        <w:tc>
          <w:tcPr>
            <w:tcW w:type="dxa" w:w="1694"/>
            <w:vAlign w:val="center"/>
          </w:tcPr>
          <w:p>
            <w:pPr>
              <w:spacing w:after="0" w:before="0"/>
            </w:pPr>
            <w:r>
              <w:rPr>
                <w:sz w:val="17"/>
              </w:rPr>
            </w:r>
            <w:r>
              <w:rPr>
                <w:b/>
                <w:sz w:val="17"/>
              </w:rPr>
              <w:t>Round 7</w:t>
            </w:r>
          </w:p>
        </w:tc>
        <w:tc>
          <w:tcPr>
            <w:tcW w:type="dxa" w:w="1694"/>
            <w:vAlign w:val="center"/>
          </w:tcPr>
          <w:p>
            <w:pPr>
              <w:spacing w:after="0" w:before="0"/>
            </w:pPr>
            <w:r>
              <w:rPr>
                <w:sz w:val="17"/>
              </w:rPr>
            </w:r>
            <w:r>
              <w:rPr>
                <w:b/>
                <w:sz w:val="17"/>
              </w:rPr>
              <w:t>D4</w:t>
            </w:r>
          </w:p>
        </w:tc>
        <w:tc>
          <w:tcPr>
            <w:tcW w:type="dxa" w:w="1694"/>
            <w:vAlign w:val="center"/>
          </w:tcPr>
          <w:p>
            <w:pPr>
              <w:spacing w:after="0" w:before="0"/>
            </w:pPr>
            <w:r>
              <w:rPr>
                <w:sz w:val="17"/>
              </w:rPr>
            </w:r>
            <w:r>
              <w:rPr>
                <w:b/>
                <w:sz w:val="17"/>
              </w:rPr>
              <w:t>0.414574</w:t>
            </w:r>
          </w:p>
        </w:tc>
        <w:tc>
          <w:tcPr>
            <w:tcW w:type="dxa" w:w="1694"/>
            <w:vAlign w:val="center"/>
          </w:tcPr>
          <w:p>
            <w:pPr>
              <w:spacing w:after="0" w:before="0"/>
            </w:pPr>
            <w:r>
              <w:rPr>
                <w:sz w:val="17"/>
              </w:rPr>
            </w:r>
            <w:r>
              <w:rPr>
                <w:b/>
                <w:sz w:val="17"/>
              </w:rPr>
              <w:t>0.286702</w:t>
            </w:r>
          </w:p>
        </w:tc>
        <w:tc>
          <w:tcPr>
            <w:tcW w:type="dxa" w:w="1694"/>
            <w:vAlign w:val="center"/>
          </w:tcPr>
          <w:p>
            <w:pPr>
              <w:spacing w:after="0" w:before="0"/>
            </w:pPr>
            <w:r>
              <w:rPr>
                <w:sz w:val="17"/>
              </w:rPr>
            </w:r>
            <w:r>
              <w:rPr>
                <w:b/>
                <w:sz w:val="17"/>
              </w:rPr>
              <w:t>0.350638</w:t>
            </w:r>
          </w:p>
        </w:tc>
        <w:tc>
          <w:tcPr>
            <w:tcW w:type="dxa" w:w="1694"/>
            <w:vAlign w:val="center"/>
          </w:tcPr>
          <w:p>
            <w:pPr>
              <w:spacing w:after="0" w:before="0"/>
            </w:pPr>
            <w:r>
              <w:rPr>
                <w:sz w:val="17"/>
              </w:rPr>
            </w:r>
            <w:r>
              <w:rPr>
                <w:b/>
                <w:sz w:val="17"/>
              </w:rPr>
              <w:t>−13.66%</w:t>
            </w:r>
          </w:p>
        </w:tc>
      </w:tr>
      <w:tr>
        <w:tc>
          <w:tcPr>
            <w:tcW w:type="dxa" w:w="1694"/>
            <w:vAlign w:val="center"/>
          </w:tcPr>
          <w:p>
            <w:pPr>
              <w:spacing w:after="0" w:before="0"/>
            </w:pPr>
            <w:r>
              <w:rPr>
                <w:sz w:val="17"/>
              </w:rPr>
            </w:r>
            <w:r>
              <w:rPr>
                <w:sz w:val="17"/>
              </w:rPr>
              <w:t>Round 16</w:t>
            </w:r>
          </w:p>
        </w:tc>
        <w:tc>
          <w:tcPr>
            <w:tcW w:type="dxa" w:w="1694"/>
            <w:vAlign w:val="center"/>
          </w:tcPr>
          <w:p>
            <w:pPr>
              <w:spacing w:after="0" w:before="0"/>
            </w:pPr>
            <w:r>
              <w:rPr>
                <w:sz w:val="17"/>
              </w:rPr>
            </w:r>
            <w:r>
              <w:rPr>
                <w:sz w:val="17"/>
              </w:rPr>
              <w:t>D4 reused</w:t>
            </w:r>
          </w:p>
        </w:tc>
        <w:tc>
          <w:tcPr>
            <w:tcW w:type="dxa" w:w="1694"/>
            <w:vAlign w:val="center"/>
          </w:tcPr>
          <w:p>
            <w:pPr>
              <w:spacing w:after="0" w:before="0"/>
            </w:pPr>
            <w:r>
              <w:rPr>
                <w:sz w:val="17"/>
              </w:rPr>
            </w:r>
            <w:r>
              <w:rPr>
                <w:sz w:val="17"/>
              </w:rPr>
              <w:t>0.395048</w:t>
            </w:r>
          </w:p>
        </w:tc>
        <w:tc>
          <w:tcPr>
            <w:tcW w:type="dxa" w:w="1694"/>
            <w:vAlign w:val="center"/>
          </w:tcPr>
          <w:p>
            <w:pPr>
              <w:spacing w:after="0" w:before="0"/>
            </w:pPr>
            <w:r>
              <w:rPr>
                <w:sz w:val="17"/>
              </w:rPr>
            </w:r>
            <w:r>
              <w:rPr>
                <w:sz w:val="17"/>
              </w:rPr>
              <w:t>0.291820</w:t>
            </w:r>
          </w:p>
        </w:tc>
        <w:tc>
          <w:tcPr>
            <w:tcW w:type="dxa" w:w="1694"/>
            <w:vAlign w:val="center"/>
          </w:tcPr>
          <w:p>
            <w:pPr>
              <w:spacing w:after="0" w:before="0"/>
            </w:pPr>
            <w:r>
              <w:rPr>
                <w:sz w:val="17"/>
              </w:rPr>
            </w:r>
            <w:r>
              <w:rPr>
                <w:sz w:val="17"/>
              </w:rPr>
              <w:t>0.343434</w:t>
            </w:r>
          </w:p>
        </w:tc>
        <w:tc>
          <w:tcPr>
            <w:tcW w:type="dxa" w:w="1694"/>
            <w:vAlign w:val="center"/>
          </w:tcPr>
          <w:p>
            <w:pPr>
              <w:spacing w:after="0" w:before="0"/>
            </w:pPr>
            <w:r>
              <w:rPr>
                <w:sz w:val="17"/>
              </w:rPr>
            </w:r>
            <w:r>
              <w:rPr>
                <w:sz w:val="17"/>
              </w:rPr>
              <w:t>−15.43%</w:t>
            </w:r>
          </w:p>
        </w:tc>
      </w:tr>
    </w:tbl>
    <w:p>
      <w:pPr>
        <w:spacing w:after="0"/>
      </w:pPr>
    </w:p>
    <w:p>
      <w:r>
        <w:t>The primary metric improves monotonically across every evaluated state. Round 7 is the best defensible cross-country checkpoint because it is the last state produced while the Indian peer was present and it includes the final distinct Indian delta. Relative to base, Round 7 improves Australia/New Zealand JSD by 15.15%, India JSD by 11.41%, and the equal two-region score by 13.66%.</w:t>
      </w:r>
    </w:p>
    <w:p>
      <w:r>
        <w:t>Round 16 has the numerically lowest two-region score, but it is not a better federated checkpoint in the same sense. From Round 7 to Round 16, Australia/New Zealand improves from 0.414574 to 0.395048, whereas India worsens from 0.286702 to 0.291820. This is consistent with continued Australian local adaptation and repeated use of stale D4 after the remote site had stopped contributing.</w:t>
      </w:r>
    </w:p>
    <w:p>
      <w:pPr>
        <w:pStyle w:val="Heading1"/>
      </w:pPr>
      <w:r>
        <w:t>Findings and limitations</w:t>
      </w:r>
    </w:p>
    <w:p>
      <w:r>
        <w:t>The run confirms that the revised data path can preserve its cursor across FL rounds and complete multiple real data passes. It also produced 16 durable Australian adapters and a stable, strongly decreasing loss curve. The first seven rounds contain four distinct cross-country updates, and their GOQA trajectory improves on both regional views.</w:t>
      </w:r>
    </w:p>
    <w:p>
      <w:r>
        <w:t>The main remaining issue is peer-liveness handling. Slakshna continued to count the persisted remote record toward the expected participant set and repeatedly loaded D4 after the peer left. The runtime therefore completed successfully from the local process's perspective, but Rounds 8–16 did not contain fresh Indian contributions. A future formal run should stop, pause, or explicitly mark the federation degraded when no new peer update is observed, and should identify updates by immutable source round or hash so that repeated use is visible without post-hoc log reconstruction.</w:t>
      </w:r>
    </w:p>
    <w:p>
      <w:pPr>
        <w:pStyle w:val="Heading1"/>
      </w:pPr>
      <w:r>
        <w:t>Conclusion</w:t>
      </w:r>
    </w:p>
    <w:p>
      <w:r>
        <w:t>This session completed five full data epochs plus 39.5% of a sixth and demonstrated clear optimization progress. Round 7 is the recommended federated checkpoint: it is the last checkpoint before peer departure, incorporates D4, and reduces the primary GOQA distance by 13.66% relative to base. Round 16 is useful as a post-disconnection comparison, but its lower aggregate JSD reflects continued Australian training with a stale Indian update and is accompanied by a small regression on the India-specific metric.</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48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56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D5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34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 Second Cross-Country Federated Training Report</dc:title>
  <dc:subject>Federated training and GlobalOpinionQA evaluation</dc:subject>
  <dc:creator>Monash M0 collaboration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