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/>
        <w:ind w:firstLine="0"/>
        <w:jc w:val="center"/>
        <w:rPr>
          <w:rFonts w:hint="eastAsia" w:eastAsia="黑体"/>
          <w:sz w:val="32"/>
          <w:szCs w:val="22"/>
          <w:lang w:eastAsia="zh-CN"/>
        </w:rPr>
      </w:pPr>
      <w:bookmarkStart w:id="0" w:name="_GoBack"/>
      <w:r>
        <w:rPr>
          <w:rFonts w:hint="eastAsia" w:ascii="黑体" w:hAnsi="黑体" w:eastAsia="黑体"/>
          <w:sz w:val="36"/>
          <w:szCs w:val="22"/>
        </w:rPr>
        <w:t>信息软件业并购</w:t>
      </w:r>
      <w:r>
        <w:rPr>
          <w:rFonts w:hint="eastAsia" w:ascii="黑体" w:hAnsi="黑体" w:eastAsia="黑体"/>
          <w:sz w:val="36"/>
          <w:szCs w:val="22"/>
          <w:lang w:val="en-US" w:eastAsia="zh-CN"/>
        </w:rPr>
        <w:t>分析报告</w:t>
      </w:r>
    </w:p>
    <w:bookmarkEnd w:id="0"/>
    <w:p>
      <w:pPr>
        <w:spacing w:before="0"/>
        <w:ind w:firstLine="0"/>
        <w:jc w:val="center"/>
        <w:rPr>
          <w:rFonts w:eastAsia="仿宋"/>
          <w:sz w:val="32"/>
          <w:szCs w:val="22"/>
        </w:rPr>
      </w:pPr>
      <w:r>
        <w:rPr>
          <w:rFonts w:eastAsia="仿宋"/>
          <w:sz w:val="32"/>
          <w:szCs w:val="22"/>
        </w:rPr>
        <w:t>（2023年9月）</w:t>
      </w:r>
      <w:r>
        <w:rPr>
          <w:rFonts w:eastAsia="仿宋"/>
          <w:sz w:val="32"/>
          <w:szCs w:val="22"/>
        </w:rPr>
        <w:br w:type="textWrapping"/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</w:rPr>
      </w:pPr>
      <w:r>
        <w:rPr>
          <w:rFonts w:hint="eastAsia" w:eastAsia="仿宋"/>
          <w:sz w:val="32"/>
          <w:szCs w:val="22"/>
        </w:rPr>
        <w:t>2</w:t>
      </w:r>
      <w:r>
        <w:rPr>
          <w:rFonts w:eastAsia="仿宋"/>
          <w:sz w:val="32"/>
          <w:szCs w:val="22"/>
        </w:rPr>
        <w:t>023</w:t>
      </w:r>
      <w:r>
        <w:rPr>
          <w:rFonts w:hint="eastAsia" w:eastAsia="仿宋"/>
          <w:sz w:val="32"/>
          <w:szCs w:val="22"/>
        </w:rPr>
        <w:t>年1</w:t>
      </w:r>
      <w:r>
        <w:rPr>
          <w:rFonts w:eastAsia="仿宋"/>
          <w:sz w:val="32"/>
          <w:szCs w:val="22"/>
        </w:rPr>
        <w:t>-9</w:t>
      </w:r>
      <w:r>
        <w:rPr>
          <w:rFonts w:hint="eastAsia" w:eastAsia="仿宋"/>
          <w:sz w:val="32"/>
          <w:szCs w:val="22"/>
        </w:rPr>
        <w:t>月，北京市</w:t>
      </w:r>
      <w:r>
        <w:rPr>
          <w:rFonts w:hint="eastAsia" w:eastAsia="仿宋"/>
          <w:sz w:val="32"/>
          <w:szCs w:val="22"/>
          <w:lang w:val="en-US" w:eastAsia="zh-CN"/>
        </w:rPr>
        <w:t>信息软件业并购金额为2805703万元，同比增长577.4%</w:t>
      </w:r>
      <w:r>
        <w:rPr>
          <w:rFonts w:hint="eastAsia" w:eastAsia="仿宋"/>
          <w:sz w:val="32"/>
          <w:szCs w:val="22"/>
        </w:rPr>
        <w:t>。</w:t>
      </w: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4711065" cy="19151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图：信息软件业并购累计金额及增速</w:t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  <w:lang w:val="en-US" w:eastAsia="zh-CN"/>
        </w:rPr>
      </w:pPr>
      <w:r>
        <w:rPr>
          <w:rFonts w:hint="eastAsia" w:eastAsia="仿宋"/>
          <w:b/>
          <w:bCs/>
          <w:sz w:val="32"/>
          <w:szCs w:val="22"/>
          <w:lang w:val="en-US" w:eastAsia="zh-CN"/>
        </w:rPr>
        <w:t>分领域看，</w:t>
      </w:r>
      <w:r>
        <w:rPr>
          <w:rFonts w:hint="eastAsia" w:eastAsia="仿宋"/>
          <w:sz w:val="32"/>
          <w:szCs w:val="22"/>
          <w:lang w:val="en-US" w:eastAsia="zh-CN"/>
        </w:rPr>
        <w:t>北京市信息软件业并购案例数前五大领域分别为人工智能、行业信息化、大数据、产业互联网、电子商务，案例数量分别为4、4、3、2、2个；并购交易金额前五大领域分别为大数据、人工智能、行业信息化、电子商务、互联网教育，金额分别为2293000、350500、37223、20000、18000万元。</w:t>
      </w: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5280025" cy="2905760"/>
            <wp:effectExtent l="4445" t="4445" r="11430" b="10795"/>
            <wp:docPr id="11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图：北京市信息软件业并购案例数量</w:t>
      </w:r>
    </w:p>
    <w:p>
      <w:pPr>
        <w:spacing w:before="0"/>
        <w:ind w:firstLine="640"/>
        <w:jc w:val="center"/>
      </w:pPr>
      <w:r>
        <w:drawing>
          <wp:inline distT="0" distB="0" distL="114300" distR="114300">
            <wp:extent cx="5269230" cy="2628900"/>
            <wp:effectExtent l="4445" t="4445" r="9525" b="8255"/>
            <wp:docPr id="12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图：北京市信息软件业并购交易数量</w:t>
      </w:r>
    </w:p>
    <w:p>
      <w:pPr>
        <w:spacing w:before="0"/>
        <w:ind w:firstLine="640"/>
        <w:jc w:val="center"/>
        <w:rPr>
          <w:rFonts w:hint="default"/>
          <w:lang w:val="en-US" w:eastAsia="zh-CN"/>
        </w:rPr>
      </w:pPr>
    </w:p>
    <w:p>
      <w:pPr>
        <w:spacing w:before="0"/>
        <w:ind w:firstLine="640"/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5MTE5ZjM0MzhjMzI2ZjAzNTg0MmFiYWUzZjQwYTAifQ=="/>
  </w:docVars>
  <w:rsids>
    <w:rsidRoot w:val="00BF5761"/>
    <w:rsid w:val="001456B5"/>
    <w:rsid w:val="001556FD"/>
    <w:rsid w:val="00156F19"/>
    <w:rsid w:val="00257DFF"/>
    <w:rsid w:val="00286CF8"/>
    <w:rsid w:val="00324D06"/>
    <w:rsid w:val="003660B3"/>
    <w:rsid w:val="003813B1"/>
    <w:rsid w:val="00462758"/>
    <w:rsid w:val="004A3DE9"/>
    <w:rsid w:val="004F65E9"/>
    <w:rsid w:val="00503AB1"/>
    <w:rsid w:val="005334EA"/>
    <w:rsid w:val="005829CC"/>
    <w:rsid w:val="00643B85"/>
    <w:rsid w:val="007B09AA"/>
    <w:rsid w:val="007E43A2"/>
    <w:rsid w:val="007E658D"/>
    <w:rsid w:val="007E6F0C"/>
    <w:rsid w:val="00813DAC"/>
    <w:rsid w:val="00833899"/>
    <w:rsid w:val="008F26C6"/>
    <w:rsid w:val="00946AC1"/>
    <w:rsid w:val="009E0C24"/>
    <w:rsid w:val="00A23571"/>
    <w:rsid w:val="00A23A5B"/>
    <w:rsid w:val="00A2446A"/>
    <w:rsid w:val="00A271F2"/>
    <w:rsid w:val="00A5354B"/>
    <w:rsid w:val="00A85725"/>
    <w:rsid w:val="00AE0579"/>
    <w:rsid w:val="00AE1787"/>
    <w:rsid w:val="00AE7372"/>
    <w:rsid w:val="00B46E96"/>
    <w:rsid w:val="00BE2253"/>
    <w:rsid w:val="00BF4D23"/>
    <w:rsid w:val="00BF5761"/>
    <w:rsid w:val="00C92376"/>
    <w:rsid w:val="00CA7688"/>
    <w:rsid w:val="00CD1DC1"/>
    <w:rsid w:val="00CE6BB8"/>
    <w:rsid w:val="00D25D0B"/>
    <w:rsid w:val="00D730FB"/>
    <w:rsid w:val="00EB10FB"/>
    <w:rsid w:val="00F906F8"/>
    <w:rsid w:val="32BB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56" w:line="360" w:lineRule="auto"/>
      <w:ind w:firstLine="480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表格"/>
    <w:basedOn w:val="1"/>
    <w:link w:val="7"/>
    <w:qFormat/>
    <w:uiPriority w:val="0"/>
    <w:rPr>
      <w:sz w:val="21"/>
    </w:rPr>
  </w:style>
  <w:style w:type="character" w:customStyle="1" w:styleId="7">
    <w:name w:val="表格 字符"/>
    <w:basedOn w:val="5"/>
    <w:link w:val="6"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8">
    <w:name w:val="页眉 字符"/>
    <w:basedOn w:val="5"/>
    <w:link w:val="3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&#21271;&#20140;&#36719;&#35838;&#39064;%20&#39640;&#31934;&#23574;&#20135;&#19994;\&#25968;&#25454;&#27169;&#26495;\&#25351;&#26631;&#25968;&#25454;20231120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&#21271;&#20140;&#36719;&#35838;&#39064;%20&#39640;&#31934;&#23574;&#20135;&#19994;\&#25968;&#25454;&#27169;&#26495;\&#25351;&#26631;&#25968;&#25454;202311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[指标数据20231120.xlsx]投融资!$C$1</c:f>
              <c:strCache>
                <c:ptCount val="1"/>
                <c:pt idx="0">
                  <c:v>并购案例数量（个）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[指标数据20231120.xlsx]投融资!$B$2:$B$297</c:f>
              <c:strCache>
                <c:ptCount val="13"/>
                <c:pt idx="0">
                  <c:v>人工智能</c:v>
                </c:pt>
                <c:pt idx="1">
                  <c:v>行业信息化</c:v>
                </c:pt>
                <c:pt idx="2">
                  <c:v>大数据</c:v>
                </c:pt>
                <c:pt idx="3">
                  <c:v>产业互联网</c:v>
                </c:pt>
                <c:pt idx="4">
                  <c:v>电子商务</c:v>
                </c:pt>
                <c:pt idx="5">
                  <c:v>互联网教育</c:v>
                </c:pt>
                <c:pt idx="6">
                  <c:v>短视频与直播</c:v>
                </c:pt>
                <c:pt idx="7">
                  <c:v>基础软件</c:v>
                </c:pt>
                <c:pt idx="8">
                  <c:v>金融科技</c:v>
                </c:pt>
                <c:pt idx="9">
                  <c:v>其它新一代互联网应用</c:v>
                </c:pt>
                <c:pt idx="10">
                  <c:v>数字文化创意</c:v>
                </c:pt>
                <c:pt idx="11">
                  <c:v>网络安全</c:v>
                </c:pt>
                <c:pt idx="12">
                  <c:v>行业应用软件</c:v>
                </c:pt>
              </c:strCache>
            </c:strRef>
          </c:cat>
          <c:val>
            <c:numRef>
              <c:f>[指标数据20231120.xlsx]投融资!$C$2:$C$297</c:f>
              <c:numCache>
                <c:formatCode>General</c:formatCode>
                <c:ptCount val="13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40"/>
        <c:overlap val="-40"/>
        <c:axId val="677898961"/>
        <c:axId val="114637873"/>
      </c:barChart>
      <c:catAx>
        <c:axId val="677898961"/>
        <c:scaling>
          <c:orientation val="maxMin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4637873"/>
        <c:crosses val="autoZero"/>
        <c:auto val="1"/>
        <c:lblAlgn val="ctr"/>
        <c:lblOffset val="100"/>
        <c:noMultiLvlLbl val="0"/>
      </c:catAx>
      <c:valAx>
        <c:axId val="114637873"/>
        <c:scaling>
          <c:orientation val="minMax"/>
        </c:scaling>
        <c:delete val="1"/>
        <c:axPos val="t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789896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[指标数据20231120.xlsx]投融资!$C$1</c:f>
              <c:strCache>
                <c:ptCount val="1"/>
                <c:pt idx="0">
                  <c:v>并购交易金额（万元）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[指标数据20231120.xlsx]投融资!$B$2:$B$512</c:f>
              <c:strCache>
                <c:ptCount val="13"/>
                <c:pt idx="0">
                  <c:v>大数据</c:v>
                </c:pt>
                <c:pt idx="1">
                  <c:v>人工智能</c:v>
                </c:pt>
                <c:pt idx="2">
                  <c:v>行业信息化</c:v>
                </c:pt>
                <c:pt idx="3">
                  <c:v>电子商务</c:v>
                </c:pt>
                <c:pt idx="4">
                  <c:v>互联网教育</c:v>
                </c:pt>
                <c:pt idx="5">
                  <c:v>产业互联网</c:v>
                </c:pt>
                <c:pt idx="6">
                  <c:v>其它新一代互联网应用</c:v>
                </c:pt>
                <c:pt idx="7">
                  <c:v>数字文化创意</c:v>
                </c:pt>
                <c:pt idx="8">
                  <c:v>短视频与直播</c:v>
                </c:pt>
                <c:pt idx="9">
                  <c:v>基础软件</c:v>
                </c:pt>
                <c:pt idx="10">
                  <c:v>金融科技</c:v>
                </c:pt>
                <c:pt idx="11">
                  <c:v>网络安全</c:v>
                </c:pt>
                <c:pt idx="12">
                  <c:v>行业应用软件</c:v>
                </c:pt>
              </c:strCache>
            </c:strRef>
          </c:cat>
          <c:val>
            <c:numRef>
              <c:f>[指标数据20231120.xlsx]投融资!$C$2:$C$512</c:f>
              <c:numCache>
                <c:formatCode>General</c:formatCode>
                <c:ptCount val="13"/>
                <c:pt idx="0">
                  <c:v>2293000</c:v>
                </c:pt>
                <c:pt idx="1">
                  <c:v>350500</c:v>
                </c:pt>
                <c:pt idx="2">
                  <c:v>37223</c:v>
                </c:pt>
                <c:pt idx="3">
                  <c:v>20000</c:v>
                </c:pt>
                <c:pt idx="4">
                  <c:v>18000</c:v>
                </c:pt>
                <c:pt idx="5">
                  <c:v>17580</c:v>
                </c:pt>
                <c:pt idx="6">
                  <c:v>15300</c:v>
                </c:pt>
                <c:pt idx="7">
                  <c:v>13800</c:v>
                </c:pt>
                <c:pt idx="8">
                  <c:v>10000</c:v>
                </c:pt>
                <c:pt idx="9">
                  <c:v>10000</c:v>
                </c:pt>
                <c:pt idx="10">
                  <c:v>10000</c:v>
                </c:pt>
                <c:pt idx="11">
                  <c:v>10000</c:v>
                </c:pt>
                <c:pt idx="12">
                  <c:v>300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0"/>
        <c:overlap val="-40"/>
        <c:axId val="120775194"/>
        <c:axId val="739344511"/>
      </c:barChart>
      <c:catAx>
        <c:axId val="120775194"/>
        <c:scaling>
          <c:orientation val="maxMin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9344511"/>
        <c:crosses val="autoZero"/>
        <c:auto val="1"/>
        <c:lblAlgn val="ctr"/>
        <c:lblOffset val="100"/>
        <c:noMultiLvlLbl val="0"/>
      </c:catAx>
      <c:valAx>
        <c:axId val="739344511"/>
        <c:scaling>
          <c:orientation val="minMax"/>
        </c:scaling>
        <c:delete val="1"/>
        <c:axPos val="t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077519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1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11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139</Characters>
  <Lines>1</Lines>
  <Paragraphs>1</Paragraphs>
  <TotalTime>7</TotalTime>
  <ScaleCrop>false</ScaleCrop>
  <LinksUpToDate>false</LinksUpToDate>
  <CharactersWithSpaces>162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2023-11-15T11:04:00Z</dcterms:created>
  <dc:creator>宋继龙</dc:creator>
  <cp:lastModifiedBy>文档存本地丢失不负责</cp:lastModifiedBy>
  <dcterms:modified xsi:type="dcterms:W3CDTF">2023-11-20T08:08:20Z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5EBA1D48C9CD48048437DFDDC7674D96_13</vt:lpwstr>
  </property>
</Properties>
</file>