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lang w:eastAsia="zh-CN"/>
        </w:rPr>
      </w:pPr>
      <w:r>
        <w:rPr>
          <w:rFonts w:hint="eastAsia" w:ascii="黑体" w:hAnsi="黑体" w:eastAsia="黑体"/>
          <w:sz w:val="36"/>
          <w:lang w:eastAsia="zh-CN"/>
        </w:rPr>
        <w:t>制造业用电量</w:t>
      </w:r>
      <w:r>
        <w:rPr>
          <w:rFonts w:ascii="黑体" w:hAnsi="黑体" w:eastAsia="黑体"/>
          <w:sz w:val="36"/>
          <w:lang w:eastAsia="zh-CN"/>
        </w:rPr>
        <w:t>分析</w:t>
      </w:r>
      <w:r>
        <w:rPr>
          <w:rFonts w:hint="eastAsia" w:ascii="黑体" w:hAnsi="黑体" w:eastAsia="黑体"/>
          <w:sz w:val="36"/>
          <w:lang w:val="en-US" w:eastAsia="zh-CN"/>
        </w:rPr>
        <w:t>报告</w:t>
      </w:r>
    </w:p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（2023年10月）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2023年10月，北京市制造业用电量为130767.7万千瓦时，同比增长0.3%，环比下降-10.5%；1-10月，累计用电量为1442109.6万千瓦时，同比增长2.7%。</w:t>
      </w:r>
    </w:p>
    <w:p>
      <w:pPr>
        <w:spacing w:after="0" w:line="360" w:lineRule="auto"/>
        <w:ind w:firstLine="640"/>
        <w:jc w:val="center"/>
        <w:rPr>
          <w:sz w:val="24"/>
          <w:szCs w:val="20"/>
        </w:rPr>
      </w:pPr>
      <w:r>
        <w:rPr>
          <w:sz w:val="24"/>
          <w:szCs w:val="20"/>
        </w:rPr>
        <w:drawing>
          <wp:inline distT="0" distB="0" distL="114300" distR="114300">
            <wp:extent cx="4575175" cy="2740025"/>
            <wp:effectExtent l="4445" t="4445" r="5080" b="11430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图：北京市制造业用电量及增速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行业看，用电量排名前三位的行业分别是计算机、通信和其他电子设备制造业，石油、煤炭及其他燃料加工业，汽车制造业，分别为33844.0、23222.4、11083.0万千瓦时；用电量增速排名前三位的行业分别是金属制品、机械和设备修理业，黑色金属冶炼和压延加工业，有色金属冶炼和压延加工业，分别同比增长71.7%、49.1%、33.8%。</w:t>
      </w:r>
    </w:p>
    <w:p>
      <w:pPr>
        <w:spacing w:after="0" w:line="360" w:lineRule="auto"/>
        <w:ind w:firstLine="640"/>
        <w:jc w:val="both"/>
      </w:pPr>
      <w:r>
        <w:drawing>
          <wp:inline distT="0" distB="0" distL="114300" distR="114300">
            <wp:extent cx="5245735" cy="2807335"/>
            <wp:effectExtent l="4445" t="4445" r="7620" b="762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图：北京市制造业用电量前十大行业</w:t>
      </w:r>
    </w:p>
    <w:p>
      <w:pPr>
        <w:spacing w:after="0" w:line="360" w:lineRule="auto"/>
        <w:ind w:firstLine="640"/>
      </w:pPr>
      <w:r>
        <w:drawing>
          <wp:inline distT="0" distB="0" distL="114300" distR="114300">
            <wp:extent cx="5213350" cy="2694305"/>
            <wp:effectExtent l="4445" t="4445" r="14605" b="635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图：北京市制造业用电量增速前十大行业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关联分析：</w:t>
      </w:r>
      <w:bookmarkStart w:id="0" w:name="_GoBack"/>
      <w:r>
        <w:rPr>
          <w:rFonts w:hint="eastAsia"/>
          <w:lang w:val="en-US" w:eastAsia="zh-CN"/>
        </w:rPr>
        <w:t>将北京市制造业用电量、制造业总产值、工业总产值当月增速进行对比，发现三者走势存在关联性，因此对北京市制造业用电量进行监测具有一定意义。</w:t>
      </w:r>
    </w:p>
    <w:bookmarkEnd w:id="0"/>
    <w:p>
      <w:pPr>
        <w:spacing w:after="0" w:line="360" w:lineRule="auto"/>
        <w:ind w:firstLine="640"/>
        <w:rPr>
          <w:rFonts w:hint="eastAsia"/>
          <w:b/>
          <w:bCs/>
          <w:lang w:val="en-US" w:eastAsia="zh-CN"/>
        </w:rPr>
      </w:pPr>
    </w:p>
    <w:p>
      <w:pPr>
        <w:spacing w:after="0" w:line="360" w:lineRule="auto"/>
        <w:ind w:firstLine="640"/>
      </w:pPr>
      <w:r>
        <w:drawing>
          <wp:inline distT="0" distB="0" distL="114300" distR="114300">
            <wp:extent cx="4947285" cy="23482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图：北京市制造业用电量、制造业总产值、工业总产值当月增速</w:t>
      </w:r>
    </w:p>
    <w:p>
      <w:pPr>
        <w:spacing w:after="0" w:line="360" w:lineRule="auto"/>
        <w:ind w:firstLine="640"/>
        <w:rPr>
          <w:rFonts w:hint="default"/>
          <w:lang w:val="en-US" w:eastAsia="zh-CN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F2581"/>
    <w:rsid w:val="0015074B"/>
    <w:rsid w:val="00157F76"/>
    <w:rsid w:val="0016196F"/>
    <w:rsid w:val="00183250"/>
    <w:rsid w:val="001B53B2"/>
    <w:rsid w:val="001E209A"/>
    <w:rsid w:val="0029639D"/>
    <w:rsid w:val="00296C31"/>
    <w:rsid w:val="00326F90"/>
    <w:rsid w:val="003743C7"/>
    <w:rsid w:val="00604878"/>
    <w:rsid w:val="006B2FAB"/>
    <w:rsid w:val="007B5B10"/>
    <w:rsid w:val="00822F28"/>
    <w:rsid w:val="008C7E08"/>
    <w:rsid w:val="008F515A"/>
    <w:rsid w:val="0092143A"/>
    <w:rsid w:val="009374D2"/>
    <w:rsid w:val="00945D4F"/>
    <w:rsid w:val="00960B48"/>
    <w:rsid w:val="009C5738"/>
    <w:rsid w:val="00A42993"/>
    <w:rsid w:val="00AA1D8D"/>
    <w:rsid w:val="00AD2CAE"/>
    <w:rsid w:val="00B47730"/>
    <w:rsid w:val="00BD0BFD"/>
    <w:rsid w:val="00CB0664"/>
    <w:rsid w:val="00DD0B44"/>
    <w:rsid w:val="00E31276"/>
    <w:rsid w:val="00E83CC6"/>
    <w:rsid w:val="00ED1A5B"/>
    <w:rsid w:val="00FC693F"/>
    <w:rsid w:val="0136732D"/>
    <w:rsid w:val="062D483E"/>
    <w:rsid w:val="117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[工作簿1]Sheet2!$B$1</c:f>
              <c:strCache>
                <c:ptCount val="1"/>
                <c:pt idx="0">
                  <c:v>当月值（万千瓦时）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[工作簿1]Sheet2!$B$2:$B$23</c:f>
              <c:numCache>
                <c:formatCode>0.0_ </c:formatCode>
                <c:ptCount val="22"/>
                <c:pt idx="0">
                  <c:v>157924.7206</c:v>
                </c:pt>
                <c:pt idx="1">
                  <c:v>135097.8733</c:v>
                </c:pt>
                <c:pt idx="2">
                  <c:v>128352.3313</c:v>
                </c:pt>
                <c:pt idx="3">
                  <c:v>110342.0689</c:v>
                </c:pt>
                <c:pt idx="4">
                  <c:v>128899.0717</c:v>
                </c:pt>
                <c:pt idx="5">
                  <c:v>143970.0918</c:v>
                </c:pt>
                <c:pt idx="6">
                  <c:v>158969.038</c:v>
                </c:pt>
                <c:pt idx="7">
                  <c:v>159129.601</c:v>
                </c:pt>
                <c:pt idx="8">
                  <c:v>139701.5331</c:v>
                </c:pt>
                <c:pt idx="9">
                  <c:v>129053.3209</c:v>
                </c:pt>
                <c:pt idx="10">
                  <c:v>135816.0353</c:v>
                </c:pt>
                <c:pt idx="11">
                  <c:v>151030.2236</c:v>
                </c:pt>
                <c:pt idx="12">
                  <c:v>135149.2352</c:v>
                </c:pt>
                <c:pt idx="13">
                  <c:v>135741.068</c:v>
                </c:pt>
                <c:pt idx="14">
                  <c:v>140296.1053</c:v>
                </c:pt>
                <c:pt idx="15">
                  <c:v>127361.1004</c:v>
                </c:pt>
                <c:pt idx="16">
                  <c:v>139326.7032</c:v>
                </c:pt>
                <c:pt idx="17">
                  <c:v>153569.32</c:v>
                </c:pt>
                <c:pt idx="18">
                  <c:v>166589.1574</c:v>
                </c:pt>
                <c:pt idx="19">
                  <c:v>165433.6396</c:v>
                </c:pt>
                <c:pt idx="20">
                  <c:v>146077.2236</c:v>
                </c:pt>
                <c:pt idx="21">
                  <c:v>130767.69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519232"/>
        <c:axId val="1585591312"/>
      </c:barChart>
      <c:lineChart>
        <c:grouping val="standard"/>
        <c:varyColors val="0"/>
        <c:ser>
          <c:idx val="1"/>
          <c:order val="1"/>
          <c:tx>
            <c:strRef>
              <c:f>[工作簿1]Sheet2!$C$1</c:f>
              <c:strCache>
                <c:ptCount val="1"/>
                <c:pt idx="0">
                  <c:v>当月增速（%）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[工作簿1]Sheet2!$C$2:$C$23</c:f>
              <c:numCache>
                <c:formatCode>0.0_ </c:formatCode>
                <c:ptCount val="22"/>
                <c:pt idx="0">
                  <c:v>0.31</c:v>
                </c:pt>
                <c:pt idx="1">
                  <c:v>-4.29</c:v>
                </c:pt>
                <c:pt idx="2">
                  <c:v>4.79</c:v>
                </c:pt>
                <c:pt idx="3">
                  <c:v>-9.74</c:v>
                </c:pt>
                <c:pt idx="4">
                  <c:v>19.39</c:v>
                </c:pt>
                <c:pt idx="5">
                  <c:v>6.92</c:v>
                </c:pt>
                <c:pt idx="6">
                  <c:v>10.55</c:v>
                </c:pt>
                <c:pt idx="7">
                  <c:v>1.57</c:v>
                </c:pt>
                <c:pt idx="8">
                  <c:v>-5.29</c:v>
                </c:pt>
                <c:pt idx="9">
                  <c:v>1.9</c:v>
                </c:pt>
                <c:pt idx="10">
                  <c:v>-2.12</c:v>
                </c:pt>
                <c:pt idx="11">
                  <c:v>2.88</c:v>
                </c:pt>
                <c:pt idx="12">
                  <c:v>-14.42</c:v>
                </c:pt>
                <c:pt idx="13">
                  <c:v>9.825950742</c:v>
                </c:pt>
                <c:pt idx="14">
                  <c:v>0.809281366</c:v>
                </c:pt>
                <c:pt idx="15">
                  <c:v>2.940423</c:v>
                </c:pt>
                <c:pt idx="16">
                  <c:v>7.694433056</c:v>
                </c:pt>
                <c:pt idx="17">
                  <c:v>5.936303682</c:v>
                </c:pt>
                <c:pt idx="18">
                  <c:v>3.98</c:v>
                </c:pt>
                <c:pt idx="19">
                  <c:v>3.530289624</c:v>
                </c:pt>
                <c:pt idx="20">
                  <c:v>3.152428202</c:v>
                </c:pt>
                <c:pt idx="21">
                  <c:v>0.327587982018788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9528352"/>
        <c:axId val="1585589824"/>
      </c:lineChart>
      <c:dateAx>
        <c:axId val="1439519232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91312"/>
        <c:crosses val="autoZero"/>
        <c:auto val="0"/>
        <c:lblAlgn val="ctr"/>
        <c:lblOffset val="100"/>
        <c:baseTimeUnit val="days"/>
      </c:dateAx>
      <c:valAx>
        <c:axId val="15855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19232"/>
        <c:crosses val="autoZero"/>
        <c:crossBetween val="between"/>
      </c:valAx>
      <c:catAx>
        <c:axId val="1439528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89824"/>
        <c:crosses val="autoZero"/>
        <c:auto val="1"/>
        <c:lblAlgn val="ctr"/>
        <c:lblOffset val="100"/>
        <c:noMultiLvlLbl val="0"/>
      </c:catAx>
      <c:valAx>
        <c:axId val="1585589824"/>
        <c:scaling>
          <c:orientation val="minMax"/>
        </c:scaling>
        <c:delete val="0"/>
        <c:axPos val="r"/>
        <c:numFmt formatCode="0_ 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28352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用电量（万千瓦时）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_);[Red]\(#,##0.0\)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[工作簿1]Sheet1!$A$2:$A$11</c:f>
              <c:strCache>
                <c:ptCount val="10"/>
                <c:pt idx="0">
                  <c:v>计算机、通信和其他电子设备制造业</c:v>
                </c:pt>
                <c:pt idx="1">
                  <c:v>石油、煤炭及其他燃料加工业</c:v>
                </c:pt>
                <c:pt idx="2">
                  <c:v>汽车制造业</c:v>
                </c:pt>
                <c:pt idx="3">
                  <c:v>医药制造业</c:v>
                </c:pt>
                <c:pt idx="4">
                  <c:v>专用设备制造业</c:v>
                </c:pt>
                <c:pt idx="5">
                  <c:v>非金属矿物制品业</c:v>
                </c:pt>
                <c:pt idx="6">
                  <c:v>黑色金属冶炼和压延加工业</c:v>
                </c:pt>
                <c:pt idx="7">
                  <c:v>金属制品业</c:v>
                </c:pt>
                <c:pt idx="8">
                  <c:v>通用设备制造业</c:v>
                </c:pt>
                <c:pt idx="9">
                  <c:v>食品制造业</c:v>
                </c:pt>
              </c:strCache>
            </c:strRef>
          </c:cat>
          <c:val>
            <c:numRef>
              <c:f>[工作簿1]Sheet1!$B$2:$B$11</c:f>
              <c:numCache>
                <c:formatCode>General</c:formatCode>
                <c:ptCount val="10"/>
                <c:pt idx="0">
                  <c:v>33844</c:v>
                </c:pt>
                <c:pt idx="1">
                  <c:v>23222.39</c:v>
                </c:pt>
                <c:pt idx="2">
                  <c:v>11083</c:v>
                </c:pt>
                <c:pt idx="3">
                  <c:v>9477</c:v>
                </c:pt>
                <c:pt idx="4">
                  <c:v>8098</c:v>
                </c:pt>
                <c:pt idx="5">
                  <c:v>5042.29999999999</c:v>
                </c:pt>
                <c:pt idx="6">
                  <c:v>3867</c:v>
                </c:pt>
                <c:pt idx="7">
                  <c:v>3635</c:v>
                </c:pt>
                <c:pt idx="8">
                  <c:v>3462</c:v>
                </c:pt>
                <c:pt idx="9">
                  <c:v>3374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增速（%）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[工作簿1]Sheet1!$A$2:$A$11</c:f>
              <c:strCache>
                <c:ptCount val="10"/>
                <c:pt idx="0">
                  <c:v>计算机、通信和其他电子设备制造业</c:v>
                </c:pt>
                <c:pt idx="1">
                  <c:v>石油、煤炭及其他燃料加工业</c:v>
                </c:pt>
                <c:pt idx="2">
                  <c:v>汽车制造业</c:v>
                </c:pt>
                <c:pt idx="3">
                  <c:v>医药制造业</c:v>
                </c:pt>
                <c:pt idx="4">
                  <c:v>专用设备制造业</c:v>
                </c:pt>
                <c:pt idx="5">
                  <c:v>非金属矿物制品业</c:v>
                </c:pt>
                <c:pt idx="6">
                  <c:v>黑色金属冶炼和压延加工业</c:v>
                </c:pt>
                <c:pt idx="7">
                  <c:v>金属制品业</c:v>
                </c:pt>
                <c:pt idx="8">
                  <c:v>通用设备制造业</c:v>
                </c:pt>
                <c:pt idx="9">
                  <c:v>食品制造业</c:v>
                </c:pt>
              </c:strCache>
            </c:strRef>
          </c:cat>
          <c:val>
            <c:numRef>
              <c:f>[工作簿1]Sheet1!$C$2:$C$11</c:f>
              <c:numCache>
                <c:formatCode>0.00_ </c:formatCode>
                <c:ptCount val="10"/>
                <c:pt idx="0">
                  <c:v>14.5584402396507</c:v>
                </c:pt>
                <c:pt idx="1">
                  <c:v>-2.5690243885708</c:v>
                </c:pt>
                <c:pt idx="2">
                  <c:v>-14.0252889612908</c:v>
                </c:pt>
                <c:pt idx="3">
                  <c:v>0.0316656111462916</c:v>
                </c:pt>
                <c:pt idx="4">
                  <c:v>-0.52819063997053</c:v>
                </c:pt>
                <c:pt idx="5">
                  <c:v>-9.08222142084386</c:v>
                </c:pt>
                <c:pt idx="6">
                  <c:v>49.1322792132665</c:v>
                </c:pt>
                <c:pt idx="7">
                  <c:v>-8.34594049420071</c:v>
                </c:pt>
                <c:pt idx="8">
                  <c:v>0.96237970253719</c:v>
                </c:pt>
                <c:pt idx="9">
                  <c:v>-0.501327042170461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0"/>
        <c:axId val="803127213"/>
        <c:axId val="248062882"/>
      </c:barChart>
      <c:catAx>
        <c:axId val="803127213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8062882"/>
        <c:crosses val="autoZero"/>
        <c:auto val="1"/>
        <c:lblAlgn val="ctr"/>
        <c:lblOffset val="100"/>
        <c:noMultiLvlLbl val="0"/>
      </c:catAx>
      <c:valAx>
        <c:axId val="248062882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31272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[工作簿2]Sheet1!$B$1</c:f>
              <c:strCache>
                <c:ptCount val="1"/>
                <c:pt idx="0">
                  <c:v>用电量增速（%）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_);[Red]\(#,##0.0\)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[工作簿2]Sheet1!$A$2:$A$11</c:f>
              <c:strCache>
                <c:ptCount val="10"/>
                <c:pt idx="0">
                  <c:v>金属制品、机械和设备修理业</c:v>
                </c:pt>
                <c:pt idx="1">
                  <c:v>黑色金属冶炼和压延加工业</c:v>
                </c:pt>
                <c:pt idx="2">
                  <c:v>有色金属冶炼和压延加工业</c:v>
                </c:pt>
                <c:pt idx="3">
                  <c:v>计算机、通信和其他电子设备制造业</c:v>
                </c:pt>
                <c:pt idx="4">
                  <c:v>铁路、船舶、航空航天和其他运输设备制造业</c:v>
                </c:pt>
                <c:pt idx="5">
                  <c:v>化学原料和化学制品制造业</c:v>
                </c:pt>
                <c:pt idx="6">
                  <c:v>烟草制品业</c:v>
                </c:pt>
                <c:pt idx="7">
                  <c:v>通用设备制造业</c:v>
                </c:pt>
                <c:pt idx="8">
                  <c:v>农副食品加工业</c:v>
                </c:pt>
                <c:pt idx="9">
                  <c:v>电气机械和器材制造业</c:v>
                </c:pt>
              </c:strCache>
            </c:strRef>
          </c:cat>
          <c:val>
            <c:numRef>
              <c:f>[工作簿2]Sheet1!$B$2:$B$11</c:f>
              <c:numCache>
                <c:formatCode>General</c:formatCode>
                <c:ptCount val="10"/>
                <c:pt idx="0">
                  <c:v>71.73913</c:v>
                </c:pt>
                <c:pt idx="1">
                  <c:v>49.13228</c:v>
                </c:pt>
                <c:pt idx="2">
                  <c:v>33.76963</c:v>
                </c:pt>
                <c:pt idx="3">
                  <c:v>14.55844</c:v>
                </c:pt>
                <c:pt idx="4">
                  <c:v>12.12903</c:v>
                </c:pt>
                <c:pt idx="5">
                  <c:v>10.25145</c:v>
                </c:pt>
                <c:pt idx="6">
                  <c:v>9.677419</c:v>
                </c:pt>
                <c:pt idx="7">
                  <c:v>0.96238</c:v>
                </c:pt>
                <c:pt idx="8">
                  <c:v>0.342572</c:v>
                </c:pt>
                <c:pt idx="9">
                  <c:v>0.27881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603743482"/>
        <c:axId val="188866926"/>
      </c:barChart>
      <c:catAx>
        <c:axId val="603743482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8866926"/>
        <c:crosses val="autoZero"/>
        <c:auto val="1"/>
        <c:lblAlgn val="ctr"/>
        <c:lblOffset val="100"/>
        <c:noMultiLvlLbl val="0"/>
      </c:catAx>
      <c:valAx>
        <c:axId val="188866926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37434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56328-EB19-426D-AB6D-235625E5C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171</Characters>
  <Lines>1</Lines>
  <Paragraphs>1</Paragraphs>
  <TotalTime>1</TotalTime>
  <ScaleCrop>false</ScaleCrop>
  <LinksUpToDate>false</LinksUpToDate>
  <CharactersWithSpaces>199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2023-11-20T06:36:14Z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B3E6DC6840C84BD5B5E223BD7FBC6E45_13</vt:lpwstr>
  </property>
</Properties>
</file>