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173</w:t>
            </w:r>
          </w:p>
        </w:tc>
        <w:tc>
          <w:tcPr>
            <w:tcW w:type="dxa" w:w="2160"/>
          </w:tcPr>
          <w:p>
            <w:r>
              <w:t>303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108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167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108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2022年07月，北京市信息软件业招聘岗位数947个，其中本地502个，外地445个。</w:t>
      </w:r>
    </w:p>
    <w:p>
      <w:r>
        <w:t>分集团看，阿里系招聘36人，其中本地22人，外地14人；百度系招聘97人，其中本地63人，外地34人；抖音系招聘303人，其中本地130人，外地173人；京东系招聘99人，其中本地83人，外地16人；快手系招聘167人，其中本地108人，外地59人；美团系招聘142人，其中本地34人，外地108人；神州数码系招聘26人，其中本地5人，外地21人；小米系招聘77人，其中本地57人，外地20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