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431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186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272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384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477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284</w:t>
            </w:r>
          </w:p>
        </w:tc>
        <w:tc>
          <w:tcPr>
            <w:tcW w:type="dxa" w:w="2160"/>
          </w:tcPr>
          <w:p>
            <w:r>
              <w:t>686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173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2023年05月，北京市信息软件业招聘岗位数2272个，其中本地1440个，外地832个。</w:t>
      </w:r>
    </w:p>
    <w:p>
      <w:r>
        <w:t>分集团看，阿里系招聘18人，其中本地12人，外地6人；百度系招聘113人，其中本地80人，外地33人；抖音系招聘431人，其中本地201人，外地230人；京东系招聘272人，其中本地186人，外地86人；快手系招聘477人，其中本地384人，外地93人；美团系招聘686人，其中本地402人，外地284人；神州数码系招聘173人，其中本地102人，外地71人；小米系招聘102人，其中本地73人，外地29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