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（2022年12月）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2022年12月，北京市信息软件业招聘岗位数13个，其中本地9个，外地4个。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人，其中本地1人，外地0人；百度系招聘6人，其中本地6人，外地0人；快手系招聘2人，其中本地1人，外地1人；美团系招聘1人，其中本地1人，外地0人；小米系招聘3人，其中本地0人，外地3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