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jc w:val="center"/>
      </w:pPr>
      <w:r>
        <w:rPr>
          <w:rFonts w:ascii="黑体" w:hAnsi="黑体" w:eastAsia="黑体"/>
          <w:sz w:val="36"/>
        </w:rPr>
        <w:t>信息软件业招聘岗位数分析报告</w:t>
      </w:r>
    </w:p>
    <w:p>
      <w:pPr>
        <w:spacing w:before="0" w:after="0" w:line="360" w:lineRule="auto"/>
        <w:jc w:val="center"/>
      </w:pPr>
      <w:r>
        <w:rPr>
          <w:rFonts w:ascii="Times New Roman" w:hAnsi="Times New Roman" w:eastAsia="仿宋"/>
          <w:sz w:val="32"/>
        </w:rPr>
        <w:t>2022年12月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/>
          <w:sz w:val="32"/>
        </w:rPr>
        <w:t>2022年12月，北京市信息软件业招聘岗位数13个，其中本地9个，外地4个。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/>
          <w:sz w:val="32"/>
        </w:rPr>
        <w:t>分集团看，阿里系招聘1人，其中本地1人，外地0人；百度系招聘6人，其中本地6人，外地0人；快手系招聘2人，其中本地1人，外地1人；美团系招聘1人，其中本地1人，外地0人；小米系招聘3人，其中本地0人，外地3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仿宋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