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F497D"/>
          </w:tcPr>
          <w:p>
            <w:pPr>
              <w:spacing w:before="120" w:after="40"/>
              <w:jc w:val="center"/>
            </w:pPr>
            <w:r>
              <w:rPr>
                <w:rFonts w:ascii="Arial" w:hAnsi="Arial"/>
                <w:b/>
                <w:i w:val="0"/>
                <w:color w:val="FFFFFF"/>
                <w:sz w:val="28"/>
              </w:rPr>
              <w:t>Conalep 169</w:t>
            </w:r>
          </w:p>
          <w:p>
            <w:pPr>
              <w:spacing w:after="120"/>
              <w:jc w:val="center"/>
            </w:pPr>
            <w:r>
              <w:rPr>
                <w:rFonts w:ascii="Arial" w:hAnsi="Arial"/>
                <w:b w:val="0"/>
                <w:i w:val="0"/>
                <w:color w:val="CCDDEE"/>
                <w:sz w:val="18"/>
              </w:rPr>
              <w:t>Dirección General  |  Primer Reporte de Calificaciones  |  Ciclo Escolar 2025–2026</w:t>
            </w:r>
          </w:p>
        </w:tc>
      </w:tr>
    </w:tbl>
    <w:p/>
    <w:p>
      <w:pPr>
        <w:spacing w:after="240"/>
        <w:jc w:val="right"/>
      </w:pPr>
      <w:r>
        <w:rPr>
          <w:rFonts w:ascii="Arial" w:hAnsi="Arial"/>
          <w:b w:val="0"/>
          <w:i w:val="0"/>
          <w:color w:val="707070"/>
          <w:sz w:val="20"/>
        </w:rPr>
        <w:t>Tepic, Nayarit, a 23 de marzo de 2026</w:t>
      </w:r>
    </w:p>
    <w:p>
      <w:pPr>
        <w:spacing w:after="40"/>
        <w:jc w:val="left"/>
      </w:pPr>
      <w:r>
        <w:rPr>
          <w:rFonts w:ascii="Arial" w:hAnsi="Arial"/>
          <w:b/>
          <w:i w:val="0"/>
          <w:sz w:val="22"/>
        </w:rPr>
        <w:t>Padre/Madre de familia de Miguel Flores</w:t>
      </w:r>
    </w:p>
    <w:p>
      <w:pPr>
        <w:spacing w:after="280"/>
        <w:jc w:val="left"/>
      </w:pPr>
      <w:r>
        <w:rPr>
          <w:rFonts w:ascii="Arial" w:hAnsi="Arial"/>
          <w:b w:val="0"/>
          <w:i/>
          <w:color w:val="707070"/>
          <w:sz w:val="22"/>
        </w:rPr>
        <w:t>Presente</w:t>
      </w:r>
    </w:p>
    <w:p>
      <w:pPr>
        <w:spacing w:after="200"/>
        <w:jc w:val="left"/>
      </w:pPr>
      <w:r>
        <w:rPr>
          <w:rFonts w:ascii="Arial" w:hAnsi="Arial"/>
          <w:b w:val="0"/>
          <w:i w:val="0"/>
          <w:sz w:val="22"/>
        </w:rPr>
        <w:t>Estimado(a) Padre/Madre de Familia del alumno(a) Miguel Flores:</w:t>
      </w:r>
    </w:p>
    <w:p>
      <w:pPr>
        <w:spacing w:after="160"/>
      </w:pPr>
      <w:r>
        <w:t>Por medio del presente comunicado, nos dirigimos a usted con el más sincero respeto, con la finalidad de informarle sobre el desempeño académico de su hijo(a) correspondiente al primer reporte de calificaciones del ciclo escolar 2025–2026. En esta institución nos comprometemos con la formación integral de cada alumno y consideramos esencial mantener una comunicación constante y transparente con las familias.</w:t>
      </w:r>
    </w:p>
    <w:p>
      <w:pPr>
        <w:spacing w:after="200"/>
      </w:pPr>
      <w:r>
        <w:t>A continuación, se presentan las calificaciones obtenidas en cada una de las asignaturas:</w:t>
      </w:r>
    </w:p>
    <w:tbl>
      <w:tblPr>
        <w:tblStyle w:val="TableGrid"/>
        <w:tblW w:type="auto" w:w="0"/>
        <w:tblLook w:firstColumn="1" w:firstRow="1" w:lastColumn="0" w:lastRow="0" w:noHBand="0" w:noVBand="1" w:val="04A0"/>
      </w:tblPr>
      <w:tblGrid>
        <w:gridCol w:w="3120"/>
        <w:gridCol w:w="3120"/>
        <w:gridCol w:w="3120"/>
      </w:tblGrid>
      <w:tr>
        <w:tc>
          <w:tcPr>
            <w:tcW w:type="dxa" w:w="3969"/>
            <w:shd w:val="clear" w:color="auto" w:fill="1F497D"/>
          </w:tcPr>
          <w:p>
            <w:pPr>
              <w:jc w:val="center"/>
            </w:pPr>
            <w:r>
              <w:rPr>
                <w:rFonts w:ascii="Arial" w:hAnsi="Arial"/>
                <w:b/>
                <w:i w:val="0"/>
                <w:color w:val="FFFFFF"/>
                <w:sz w:val="20"/>
              </w:rPr>
              <w:t>Asignatura</w:t>
            </w:r>
          </w:p>
        </w:tc>
        <w:tc>
          <w:tcPr>
            <w:tcW w:type="dxa" w:w="1984"/>
            <w:shd w:val="clear" w:color="auto" w:fill="1F497D"/>
          </w:tcPr>
          <w:p>
            <w:pPr>
              <w:jc w:val="center"/>
            </w:pPr>
            <w:r>
              <w:rPr>
                <w:rFonts w:ascii="Arial" w:hAnsi="Arial"/>
                <w:b/>
                <w:i w:val="0"/>
                <w:color w:val="FFFFFF"/>
                <w:sz w:val="20"/>
              </w:rPr>
              <w:t>Calificación</w:t>
            </w:r>
          </w:p>
        </w:tc>
        <w:tc>
          <w:tcPr>
            <w:tcW w:type="dxa" w:w="1701"/>
            <w:shd w:val="clear" w:color="auto" w:fill="1F497D"/>
          </w:tcPr>
          <w:p>
            <w:pPr>
              <w:jc w:val="center"/>
            </w:pPr>
            <w:r>
              <w:rPr>
                <w:rFonts w:ascii="Arial" w:hAnsi="Arial"/>
                <w:b/>
                <w:i w:val="0"/>
                <w:color w:val="FFFFFF"/>
                <w:sz w:val="20"/>
              </w:rPr>
              <w:t>Estado</w:t>
            </w:r>
          </w:p>
        </w:tc>
      </w:tr>
      <w:tr>
        <w:tc>
          <w:tcPr>
            <w:tcW w:type="dxa" w:w="3120"/>
            <w:shd w:val="clear" w:color="auto" w:fill="F2F2F2"/>
          </w:tcPr>
          <w:p>
            <w:pPr>
              <w:jc w:val="left"/>
            </w:pPr>
            <w:r>
              <w:rPr>
                <w:rFonts w:ascii="Arial" w:hAnsi="Arial"/>
                <w:b w:val="0"/>
                <w:i w:val="0"/>
                <w:sz w:val="20"/>
              </w:rPr>
              <w:t>Matemáticas</w:t>
            </w:r>
          </w:p>
        </w:tc>
        <w:tc>
          <w:tcPr>
            <w:tcW w:type="dxa" w:w="3120"/>
            <w:shd w:val="clear" w:color="auto" w:fill="F2F2F2"/>
          </w:tcPr>
          <w:p>
            <w:pPr>
              <w:jc w:val="center"/>
            </w:pPr>
            <w:r>
              <w:rPr>
                <w:rFonts w:ascii="Arial" w:hAnsi="Arial"/>
                <w:b w:val="0"/>
                <w:i w:val="0"/>
                <w:sz w:val="20"/>
              </w:rPr>
              <w:t>7</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Español</w:t>
            </w:r>
          </w:p>
        </w:tc>
        <w:tc>
          <w:tcPr>
            <w:tcW w:type="dxa" w:w="3120"/>
            <w:shd w:val="clear" w:color="auto" w:fill="FFFFFF"/>
          </w:tcPr>
          <w:p>
            <w:pPr>
              <w:jc w:val="center"/>
            </w:pPr>
            <w:r>
              <w:rPr>
                <w:rFonts w:ascii="Arial" w:hAnsi="Arial"/>
                <w:b w:val="0"/>
                <w:i w:val="0"/>
                <w:sz w:val="20"/>
              </w:rPr>
              <w:t>10</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Historia</w:t>
            </w:r>
          </w:p>
        </w:tc>
        <w:tc>
          <w:tcPr>
            <w:tcW w:type="dxa" w:w="3120"/>
            <w:shd w:val="clear" w:color="auto" w:fill="F2F2F2"/>
          </w:tcPr>
          <w:p>
            <w:pPr>
              <w:jc w:val="center"/>
            </w:pPr>
            <w:r>
              <w:rPr>
                <w:rFonts w:ascii="Arial" w:hAnsi="Arial"/>
                <w:b w:val="0"/>
                <w:i w:val="0"/>
                <w:sz w:val="20"/>
              </w:rPr>
              <w:t>6</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Ciencias</w:t>
            </w:r>
          </w:p>
        </w:tc>
        <w:tc>
          <w:tcPr>
            <w:tcW w:type="dxa" w:w="3120"/>
            <w:shd w:val="clear" w:color="auto" w:fill="FFFFFF"/>
          </w:tcPr>
          <w:p>
            <w:pPr>
              <w:jc w:val="center"/>
            </w:pPr>
            <w:r>
              <w:rPr>
                <w:rFonts w:ascii="Arial" w:hAnsi="Arial"/>
                <w:b w:val="0"/>
                <w:i w:val="0"/>
                <w:sz w:val="20"/>
              </w:rPr>
              <w:t>8</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Inglés</w:t>
            </w:r>
          </w:p>
        </w:tc>
        <w:tc>
          <w:tcPr>
            <w:tcW w:type="dxa" w:w="3120"/>
            <w:shd w:val="clear" w:color="auto" w:fill="F2F2F2"/>
          </w:tcPr>
          <w:p>
            <w:pPr>
              <w:jc w:val="center"/>
            </w:pPr>
            <w:r>
              <w:rPr>
                <w:rFonts w:ascii="Arial" w:hAnsi="Arial"/>
                <w:b w:val="0"/>
                <w:i w:val="0"/>
                <w:sz w:val="20"/>
              </w:rPr>
              <w:t>6</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D9E1F2"/>
          </w:tcPr>
          <w:p>
            <w:pPr>
              <w:jc w:val="left"/>
            </w:pPr>
            <w:r>
              <w:rPr>
                <w:rFonts w:ascii="Arial" w:hAnsi="Arial"/>
                <w:b/>
                <w:i w:val="0"/>
                <w:sz w:val="20"/>
              </w:rPr>
              <w:t>PROMEDIO GENERAL</w:t>
            </w:r>
          </w:p>
        </w:tc>
        <w:tc>
          <w:tcPr>
            <w:tcW w:type="dxa" w:w="3120"/>
            <w:shd w:val="clear" w:color="auto" w:fill="D9E1F2"/>
          </w:tcPr>
          <w:p>
            <w:pPr>
              <w:jc w:val="center"/>
            </w:pPr>
            <w:r>
              <w:rPr>
                <w:rFonts w:ascii="Arial" w:hAnsi="Arial"/>
                <w:b/>
                <w:i w:val="0"/>
                <w:color w:val="1E7E34"/>
                <w:sz w:val="22"/>
              </w:rPr>
              <w:t>7.4</w:t>
            </w:r>
          </w:p>
        </w:tc>
        <w:tc>
          <w:tcPr>
            <w:tcW w:type="dxa" w:w="3120"/>
            <w:shd w:val="clear" w:color="auto" w:fill="D9E1F2"/>
          </w:tcPr>
          <w:p>
            <w:pPr>
              <w:jc w:val="center"/>
            </w:pPr>
            <w:r>
              <w:rPr>
                <w:rFonts w:ascii="Arial" w:hAnsi="Arial"/>
                <w:b/>
                <w:i w:val="0"/>
                <w:color w:val="1E7E34"/>
                <w:sz w:val="20"/>
              </w:rPr>
              <w:t>Satisfactorio</w:t>
            </w:r>
          </w:p>
        </w:tc>
      </w:tr>
    </w:tbl>
    <w:p/>
    <w:p>
      <w:pPr>
        <w:spacing w:after="120"/>
        <w:jc w:val="left"/>
      </w:pPr>
      <w:r>
        <w:rPr>
          <w:rFonts w:ascii="Arial" w:hAnsi="Arial"/>
          <w:b/>
          <w:i w:val="0"/>
          <w:color w:val="1F497D"/>
          <w:sz w:val="22"/>
        </w:rPr>
        <w:t>Representación gráfica del desempeño académico:</w:t>
      </w:r>
    </w:p>
    <w:p>
      <w:pPr>
        <w:jc w:val="center"/>
      </w:pPr>
      <w:r>
        <w:drawing>
          <wp:inline xmlns:a="http://schemas.openxmlformats.org/drawingml/2006/main" xmlns:pic="http://schemas.openxmlformats.org/drawingml/2006/picture">
            <wp:extent cx="5303520" cy="26107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10727"/>
                    </a:xfrm>
                    <a:prstGeom prst="rect"/>
                  </pic:spPr>
                </pic:pic>
              </a:graphicData>
            </a:graphic>
          </wp:inline>
        </w:drawing>
      </w:r>
    </w:p>
    <w:p/>
    <w:p>
      <w:pPr>
        <w:spacing w:after="160"/>
      </w:pPr>
      <w:r>
        <w:t>Hacemos un cordial llamado a fortalecer el acompañamiento en casa, motivando al alumno a mantener una actitud positiva frente al aprendizaje.</w:t>
      </w:r>
    </w:p>
    <w:p>
      <w:pPr>
        <w:spacing w:after="280"/>
      </w:pPr>
      <w:r>
        <w:t>Agradecemos su confianza y quedamos a sus órdenes para cualquier aclaración.</w:t>
      </w:r>
    </w:p>
    <w:p>
      <w:pPr>
        <w:spacing w:after="40"/>
        <w:jc w:val="left"/>
      </w:pPr>
      <w:r>
        <w:rPr>
          <w:rFonts w:ascii="Arial" w:hAnsi="Arial"/>
          <w:b w:val="0"/>
          <w:i w:val="0"/>
          <w:sz w:val="22"/>
        </w:rPr>
        <w:t>Atentamente,</w:t>
      </w:r>
    </w:p>
    <w:p>
      <w:pPr>
        <w:spacing w:after="600"/>
        <w:jc w:val="left"/>
      </w:pPr>
      <w:r>
        <w:rPr>
          <w:rFonts w:ascii="Arial" w:hAnsi="Arial"/>
          <w:b w:val="0"/>
          <w:i/>
          <w:color w:val="707070"/>
          <w:sz w:val="22"/>
        </w:rPr>
        <w:t>La Dirección Escolar</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jc w:val="center"/>
            </w:pPr>
            <w:r>
              <w:rPr>
                <w:rFonts w:ascii="Arial" w:hAnsi="Arial"/>
                <w:b w:val="0"/>
                <w:i w:val="0"/>
                <w:sz w:val="20"/>
              </w:rPr>
              <w:t>_________________________________</w:t>
            </w:r>
          </w:p>
          <w:p>
            <w:pPr>
              <w:jc w:val="center"/>
            </w:pPr>
            <w:r>
              <w:rPr>
                <w:rFonts w:ascii="Arial" w:hAnsi="Arial"/>
                <w:b w:val="0"/>
                <w:i w:val="0"/>
                <w:color w:val="707070"/>
                <w:sz w:val="18"/>
              </w:rPr>
              <w:t>Firma y Sello Institucional</w:t>
            </w:r>
          </w:p>
        </w:tc>
      </w:tr>
    </w:tbl>
    <w:p/>
    <w:p>
      <w:pPr>
        <w:spacing w:before="200"/>
        <w:jc w:val="center"/>
        <w:pBdr>
          <w:top w:val="single" w:sz="6" w:space="4" w:color="1F497D"/>
        </w:pBdr>
      </w:pPr>
      <w:r>
        <w:rPr>
          <w:rFonts w:ascii="Arial" w:hAnsi="Arial"/>
          <w:b w:val="0"/>
          <w:i w:val="0"/>
          <w:color w:val="707070"/>
          <w:sz w:val="16"/>
        </w:rPr>
        <w:t>Conalep 169  |  Ciclo Escolar 2025–2026  |  Documento generado el 23 de marzo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