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360"/>
      </w:tblGrid>
      <w:tr>
        <w:tc>
          <w:tcPr>
            <w:tcW w:type="dxa" w:w="9360"/>
            <w:shd w:val="clear" w:color="auto" w:fill="1F497D"/>
          </w:tcPr>
          <w:p>
            <w:pPr>
              <w:spacing w:before="120" w:after="40"/>
              <w:jc w:val="center"/>
            </w:pPr>
            <w:r>
              <w:rPr>
                <w:rFonts w:ascii="Arial" w:hAnsi="Arial"/>
                <w:b/>
                <w:i w:val="0"/>
                <w:color w:val="FFFFFF"/>
                <w:sz w:val="28"/>
              </w:rPr>
              <w:t>Conalep 169</w:t>
            </w:r>
          </w:p>
          <w:p>
            <w:pPr>
              <w:spacing w:after="120"/>
              <w:jc w:val="center"/>
            </w:pPr>
            <w:r>
              <w:rPr>
                <w:rFonts w:ascii="Arial" w:hAnsi="Arial"/>
                <w:b w:val="0"/>
                <w:i w:val="0"/>
                <w:color w:val="CCDDEE"/>
                <w:sz w:val="18"/>
              </w:rPr>
              <w:t>Dirección General  |  Primer Reporte de Calificaciones  |  Ciclo Escolar 2025–2026</w:t>
            </w:r>
          </w:p>
        </w:tc>
      </w:tr>
    </w:tbl>
    <w:p/>
    <w:p>
      <w:pPr>
        <w:spacing w:after="240"/>
        <w:jc w:val="right"/>
      </w:pPr>
      <w:r>
        <w:rPr>
          <w:rFonts w:ascii="Arial" w:hAnsi="Arial"/>
          <w:b w:val="0"/>
          <w:i w:val="0"/>
          <w:color w:val="707070"/>
          <w:sz w:val="20"/>
        </w:rPr>
        <w:t>Tepic, Nayarit, a 23 de marzo de 2026</w:t>
      </w:r>
    </w:p>
    <w:p>
      <w:pPr>
        <w:spacing w:after="40"/>
        <w:jc w:val="left"/>
      </w:pPr>
      <w:r>
        <w:rPr>
          <w:rFonts w:ascii="Arial" w:hAnsi="Arial"/>
          <w:b/>
          <w:i w:val="0"/>
          <w:sz w:val="22"/>
        </w:rPr>
        <w:t>Padre/Madre de familia de Sofía Ramírez</w:t>
      </w:r>
    </w:p>
    <w:p>
      <w:pPr>
        <w:spacing w:after="280"/>
        <w:jc w:val="left"/>
      </w:pPr>
      <w:r>
        <w:rPr>
          <w:rFonts w:ascii="Arial" w:hAnsi="Arial"/>
          <w:b w:val="0"/>
          <w:i/>
          <w:color w:val="707070"/>
          <w:sz w:val="22"/>
        </w:rPr>
        <w:t>Presente</w:t>
      </w:r>
    </w:p>
    <w:p>
      <w:pPr>
        <w:spacing w:after="200"/>
        <w:jc w:val="left"/>
      </w:pPr>
      <w:r>
        <w:rPr>
          <w:rFonts w:ascii="Arial" w:hAnsi="Arial"/>
          <w:b w:val="0"/>
          <w:i w:val="0"/>
          <w:sz w:val="22"/>
        </w:rPr>
        <w:t>Estimado(a) Padre/Madre de Familia del alumno(a) Sofía Ramírez:</w:t>
      </w:r>
    </w:p>
    <w:p>
      <w:pPr>
        <w:spacing w:after="160"/>
      </w:pPr>
      <w:r>
        <w:t>Por medio del presente comunicado, nos dirigimos a usted con el más sincero respeto, con la finalidad de informarle sobre el desempeño académico de su hijo(a) correspondiente al primer reporte de calificaciones del ciclo escolar 2025–2026. En esta institución nos comprometemos con la formación integral de cada alumno y consideramos esencial mantener una comunicación constante y transparente con las familias.</w:t>
      </w:r>
    </w:p>
    <w:p>
      <w:pPr>
        <w:spacing w:after="200"/>
      </w:pPr>
      <w:r>
        <w:t>A continuación, se presentan las calificaciones obtenidas en cada una de las asignaturas:</w:t>
      </w:r>
    </w:p>
    <w:tbl>
      <w:tblPr>
        <w:tblStyle w:val="TableGrid"/>
        <w:tblW w:type="auto" w:w="0"/>
        <w:tblLook w:firstColumn="1" w:firstRow="1" w:lastColumn="0" w:lastRow="0" w:noHBand="0" w:noVBand="1" w:val="04A0"/>
      </w:tblPr>
      <w:tblGrid>
        <w:gridCol w:w="3120"/>
        <w:gridCol w:w="3120"/>
        <w:gridCol w:w="3120"/>
      </w:tblGrid>
      <w:tr>
        <w:tc>
          <w:tcPr>
            <w:tcW w:type="dxa" w:w="3969"/>
            <w:shd w:val="clear" w:color="auto" w:fill="1F497D"/>
          </w:tcPr>
          <w:p>
            <w:pPr>
              <w:jc w:val="center"/>
            </w:pPr>
            <w:r>
              <w:rPr>
                <w:rFonts w:ascii="Arial" w:hAnsi="Arial"/>
                <w:b/>
                <w:i w:val="0"/>
                <w:color w:val="FFFFFF"/>
                <w:sz w:val="20"/>
              </w:rPr>
              <w:t>Asignatura</w:t>
            </w:r>
          </w:p>
        </w:tc>
        <w:tc>
          <w:tcPr>
            <w:tcW w:type="dxa" w:w="1984"/>
            <w:shd w:val="clear" w:color="auto" w:fill="1F497D"/>
          </w:tcPr>
          <w:p>
            <w:pPr>
              <w:jc w:val="center"/>
            </w:pPr>
            <w:r>
              <w:rPr>
                <w:rFonts w:ascii="Arial" w:hAnsi="Arial"/>
                <w:b/>
                <w:i w:val="0"/>
                <w:color w:val="FFFFFF"/>
                <w:sz w:val="20"/>
              </w:rPr>
              <w:t>Calificación</w:t>
            </w:r>
          </w:p>
        </w:tc>
        <w:tc>
          <w:tcPr>
            <w:tcW w:type="dxa" w:w="1701"/>
            <w:shd w:val="clear" w:color="auto" w:fill="1F497D"/>
          </w:tcPr>
          <w:p>
            <w:pPr>
              <w:jc w:val="center"/>
            </w:pPr>
            <w:r>
              <w:rPr>
                <w:rFonts w:ascii="Arial" w:hAnsi="Arial"/>
                <w:b/>
                <w:i w:val="0"/>
                <w:color w:val="FFFFFF"/>
                <w:sz w:val="20"/>
              </w:rPr>
              <w:t>Estado</w:t>
            </w:r>
          </w:p>
        </w:tc>
      </w:tr>
      <w:tr>
        <w:tc>
          <w:tcPr>
            <w:tcW w:type="dxa" w:w="3120"/>
            <w:shd w:val="clear" w:color="auto" w:fill="F2F2F2"/>
          </w:tcPr>
          <w:p>
            <w:pPr>
              <w:jc w:val="left"/>
            </w:pPr>
            <w:r>
              <w:rPr>
                <w:rFonts w:ascii="Arial" w:hAnsi="Arial"/>
                <w:b w:val="0"/>
                <w:i w:val="0"/>
                <w:sz w:val="20"/>
              </w:rPr>
              <w:t>Matemáticas</w:t>
            </w:r>
          </w:p>
        </w:tc>
        <w:tc>
          <w:tcPr>
            <w:tcW w:type="dxa" w:w="3120"/>
            <w:shd w:val="clear" w:color="auto" w:fill="F2F2F2"/>
          </w:tcPr>
          <w:p>
            <w:pPr>
              <w:jc w:val="center"/>
            </w:pPr>
            <w:r>
              <w:rPr>
                <w:rFonts w:ascii="Arial" w:hAnsi="Arial"/>
                <w:b w:val="0"/>
                <w:i w:val="0"/>
                <w:sz w:val="20"/>
              </w:rPr>
              <w:t>4</w:t>
            </w:r>
          </w:p>
        </w:tc>
        <w:tc>
          <w:tcPr>
            <w:tcW w:type="dxa" w:w="3120"/>
            <w:shd w:val="clear" w:color="auto" w:fill="F2F2F2"/>
          </w:tcPr>
          <w:p>
            <w:pPr>
              <w:jc w:val="center"/>
            </w:pPr>
            <w:r>
              <w:rPr>
                <w:rFonts w:ascii="Arial" w:hAnsi="Arial"/>
                <w:b w:val="0"/>
                <w:i w:val="0"/>
                <w:color w:val="C0392B"/>
                <w:sz w:val="20"/>
              </w:rPr>
              <w:t>Reprobado ✗</w:t>
            </w:r>
          </w:p>
        </w:tc>
      </w:tr>
      <w:tr>
        <w:tc>
          <w:tcPr>
            <w:tcW w:type="dxa" w:w="3120"/>
            <w:shd w:val="clear" w:color="auto" w:fill="FFFFFF"/>
          </w:tcPr>
          <w:p>
            <w:pPr>
              <w:jc w:val="left"/>
            </w:pPr>
            <w:r>
              <w:rPr>
                <w:rFonts w:ascii="Arial" w:hAnsi="Arial"/>
                <w:b w:val="0"/>
                <w:i w:val="0"/>
                <w:sz w:val="20"/>
              </w:rPr>
              <w:t>Español</w:t>
            </w:r>
          </w:p>
        </w:tc>
        <w:tc>
          <w:tcPr>
            <w:tcW w:type="dxa" w:w="3120"/>
            <w:shd w:val="clear" w:color="auto" w:fill="FFFFFF"/>
          </w:tcPr>
          <w:p>
            <w:pPr>
              <w:jc w:val="center"/>
            </w:pPr>
            <w:r>
              <w:rPr>
                <w:rFonts w:ascii="Arial" w:hAnsi="Arial"/>
                <w:b w:val="0"/>
                <w:i w:val="0"/>
                <w:sz w:val="20"/>
              </w:rPr>
              <w:t>5</w:t>
            </w:r>
          </w:p>
        </w:tc>
        <w:tc>
          <w:tcPr>
            <w:tcW w:type="dxa" w:w="3120"/>
            <w:shd w:val="clear" w:color="auto" w:fill="FFFFFF"/>
          </w:tcPr>
          <w:p>
            <w:pPr>
              <w:jc w:val="center"/>
            </w:pPr>
            <w:r>
              <w:rPr>
                <w:rFonts w:ascii="Arial" w:hAnsi="Arial"/>
                <w:b w:val="0"/>
                <w:i w:val="0"/>
                <w:color w:val="C0392B"/>
                <w:sz w:val="20"/>
              </w:rPr>
              <w:t>Reprobado ✗</w:t>
            </w:r>
          </w:p>
        </w:tc>
      </w:tr>
      <w:tr>
        <w:tc>
          <w:tcPr>
            <w:tcW w:type="dxa" w:w="3120"/>
            <w:shd w:val="clear" w:color="auto" w:fill="F2F2F2"/>
          </w:tcPr>
          <w:p>
            <w:pPr>
              <w:jc w:val="left"/>
            </w:pPr>
            <w:r>
              <w:rPr>
                <w:rFonts w:ascii="Arial" w:hAnsi="Arial"/>
                <w:b w:val="0"/>
                <w:i w:val="0"/>
                <w:sz w:val="20"/>
              </w:rPr>
              <w:t>Historia</w:t>
            </w:r>
          </w:p>
        </w:tc>
        <w:tc>
          <w:tcPr>
            <w:tcW w:type="dxa" w:w="3120"/>
            <w:shd w:val="clear" w:color="auto" w:fill="F2F2F2"/>
          </w:tcPr>
          <w:p>
            <w:pPr>
              <w:jc w:val="center"/>
            </w:pPr>
            <w:r>
              <w:rPr>
                <w:rFonts w:ascii="Arial" w:hAnsi="Arial"/>
                <w:b w:val="0"/>
                <w:i w:val="0"/>
                <w:sz w:val="20"/>
              </w:rPr>
              <w:t>4</w:t>
            </w:r>
          </w:p>
        </w:tc>
        <w:tc>
          <w:tcPr>
            <w:tcW w:type="dxa" w:w="3120"/>
            <w:shd w:val="clear" w:color="auto" w:fill="F2F2F2"/>
          </w:tcPr>
          <w:p>
            <w:pPr>
              <w:jc w:val="center"/>
            </w:pPr>
            <w:r>
              <w:rPr>
                <w:rFonts w:ascii="Arial" w:hAnsi="Arial"/>
                <w:b w:val="0"/>
                <w:i w:val="0"/>
                <w:color w:val="C0392B"/>
                <w:sz w:val="20"/>
              </w:rPr>
              <w:t>Reprobado ✗</w:t>
            </w:r>
          </w:p>
        </w:tc>
      </w:tr>
      <w:tr>
        <w:tc>
          <w:tcPr>
            <w:tcW w:type="dxa" w:w="3120"/>
            <w:shd w:val="clear" w:color="auto" w:fill="FFFFFF"/>
          </w:tcPr>
          <w:p>
            <w:pPr>
              <w:jc w:val="left"/>
            </w:pPr>
            <w:r>
              <w:rPr>
                <w:rFonts w:ascii="Arial" w:hAnsi="Arial"/>
                <w:b w:val="0"/>
                <w:i w:val="0"/>
                <w:sz w:val="20"/>
              </w:rPr>
              <w:t>Ciencias</w:t>
            </w:r>
          </w:p>
        </w:tc>
        <w:tc>
          <w:tcPr>
            <w:tcW w:type="dxa" w:w="3120"/>
            <w:shd w:val="clear" w:color="auto" w:fill="FFFFFF"/>
          </w:tcPr>
          <w:p>
            <w:pPr>
              <w:jc w:val="center"/>
            </w:pPr>
            <w:r>
              <w:rPr>
                <w:rFonts w:ascii="Arial" w:hAnsi="Arial"/>
                <w:b w:val="0"/>
                <w:i w:val="0"/>
                <w:sz w:val="20"/>
              </w:rPr>
              <w:t>5</w:t>
            </w:r>
          </w:p>
        </w:tc>
        <w:tc>
          <w:tcPr>
            <w:tcW w:type="dxa" w:w="3120"/>
            <w:shd w:val="clear" w:color="auto" w:fill="FFFFFF"/>
          </w:tcPr>
          <w:p>
            <w:pPr>
              <w:jc w:val="center"/>
            </w:pPr>
            <w:r>
              <w:rPr>
                <w:rFonts w:ascii="Arial" w:hAnsi="Arial"/>
                <w:b w:val="0"/>
                <w:i w:val="0"/>
                <w:color w:val="C0392B"/>
                <w:sz w:val="20"/>
              </w:rPr>
              <w:t>Reprobado ✗</w:t>
            </w:r>
          </w:p>
        </w:tc>
      </w:tr>
      <w:tr>
        <w:tc>
          <w:tcPr>
            <w:tcW w:type="dxa" w:w="3120"/>
            <w:shd w:val="clear" w:color="auto" w:fill="F2F2F2"/>
          </w:tcPr>
          <w:p>
            <w:pPr>
              <w:jc w:val="left"/>
            </w:pPr>
            <w:r>
              <w:rPr>
                <w:rFonts w:ascii="Arial" w:hAnsi="Arial"/>
                <w:b w:val="0"/>
                <w:i w:val="0"/>
                <w:sz w:val="20"/>
              </w:rPr>
              <w:t>Inglés</w:t>
            </w:r>
          </w:p>
        </w:tc>
        <w:tc>
          <w:tcPr>
            <w:tcW w:type="dxa" w:w="3120"/>
            <w:shd w:val="clear" w:color="auto" w:fill="F2F2F2"/>
          </w:tcPr>
          <w:p>
            <w:pPr>
              <w:jc w:val="center"/>
            </w:pPr>
            <w:r>
              <w:rPr>
                <w:rFonts w:ascii="Arial" w:hAnsi="Arial"/>
                <w:b w:val="0"/>
                <w:i w:val="0"/>
                <w:sz w:val="20"/>
              </w:rPr>
              <w:t>5</w:t>
            </w:r>
          </w:p>
        </w:tc>
        <w:tc>
          <w:tcPr>
            <w:tcW w:type="dxa" w:w="3120"/>
            <w:shd w:val="clear" w:color="auto" w:fill="F2F2F2"/>
          </w:tcPr>
          <w:p>
            <w:pPr>
              <w:jc w:val="center"/>
            </w:pPr>
            <w:r>
              <w:rPr>
                <w:rFonts w:ascii="Arial" w:hAnsi="Arial"/>
                <w:b w:val="0"/>
                <w:i w:val="0"/>
                <w:color w:val="C0392B"/>
                <w:sz w:val="20"/>
              </w:rPr>
              <w:t>Reprobado ✗</w:t>
            </w:r>
          </w:p>
        </w:tc>
      </w:tr>
      <w:tr>
        <w:tc>
          <w:tcPr>
            <w:tcW w:type="dxa" w:w="3120"/>
            <w:shd w:val="clear" w:color="auto" w:fill="D9E1F2"/>
          </w:tcPr>
          <w:p>
            <w:pPr>
              <w:jc w:val="left"/>
            </w:pPr>
            <w:r>
              <w:rPr>
                <w:rFonts w:ascii="Arial" w:hAnsi="Arial"/>
                <w:b/>
                <w:i w:val="0"/>
                <w:sz w:val="20"/>
              </w:rPr>
              <w:t>PROMEDIO GENERAL</w:t>
            </w:r>
          </w:p>
        </w:tc>
        <w:tc>
          <w:tcPr>
            <w:tcW w:type="dxa" w:w="3120"/>
            <w:shd w:val="clear" w:color="auto" w:fill="D9E1F2"/>
          </w:tcPr>
          <w:p>
            <w:pPr>
              <w:jc w:val="center"/>
            </w:pPr>
            <w:r>
              <w:rPr>
                <w:rFonts w:ascii="Arial" w:hAnsi="Arial"/>
                <w:b/>
                <w:i w:val="0"/>
                <w:color w:val="C0392B"/>
                <w:sz w:val="22"/>
              </w:rPr>
              <w:t>4.6</w:t>
            </w:r>
          </w:p>
        </w:tc>
        <w:tc>
          <w:tcPr>
            <w:tcW w:type="dxa" w:w="3120"/>
            <w:shd w:val="clear" w:color="auto" w:fill="D9E1F2"/>
          </w:tcPr>
          <w:p>
            <w:pPr>
              <w:jc w:val="center"/>
            </w:pPr>
            <w:r>
              <w:rPr>
                <w:rFonts w:ascii="Arial" w:hAnsi="Arial"/>
                <w:b/>
                <w:i w:val="0"/>
                <w:color w:val="C0392B"/>
                <w:sz w:val="20"/>
              </w:rPr>
              <w:t>En riesgo</w:t>
            </w:r>
          </w:p>
        </w:tc>
      </w:tr>
    </w:tbl>
    <w:p/>
    <w:p>
      <w:pPr>
        <w:spacing w:after="120"/>
        <w:jc w:val="left"/>
      </w:pPr>
      <w:r>
        <w:rPr>
          <w:rFonts w:ascii="Arial" w:hAnsi="Arial"/>
          <w:b/>
          <w:i w:val="0"/>
          <w:color w:val="1F497D"/>
          <w:sz w:val="22"/>
        </w:rPr>
        <w:t>Representación gráfica del desempeño académico:</w:t>
      </w:r>
    </w:p>
    <w:p>
      <w:pPr>
        <w:jc w:val="center"/>
      </w:pPr>
      <w:r>
        <w:drawing>
          <wp:inline xmlns:a="http://schemas.openxmlformats.org/drawingml/2006/main" xmlns:pic="http://schemas.openxmlformats.org/drawingml/2006/picture">
            <wp:extent cx="5303520" cy="26107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2610727"/>
                    </a:xfrm>
                    <a:prstGeom prst="rect"/>
                  </pic:spPr>
                </pic:pic>
              </a:graphicData>
            </a:graphic>
          </wp:inline>
        </w:drawing>
      </w:r>
    </w:p>
    <w:p/>
    <w:tbl>
      <w:tblPr>
        <w:tblStyle w:val="TableGrid"/>
        <w:tblW w:type="auto" w:w="0"/>
        <w:tblLook w:firstColumn="1" w:firstRow="1" w:lastColumn="0" w:lastRow="0" w:noHBand="0" w:noVBand="1" w:val="04A0"/>
      </w:tblPr>
      <w:tblGrid>
        <w:gridCol w:w="9360"/>
      </w:tblGrid>
      <w:tr>
        <w:tc>
          <w:tcPr>
            <w:tcW w:type="dxa" w:w="9360"/>
            <w:shd w:val="clear" w:color="auto" w:fill="FDECEA"/>
          </w:tcPr>
          <w:p>
            <w:pPr>
              <w:jc w:val="center"/>
            </w:pPr>
            <w:r>
              <w:rPr>
                <w:rFonts w:ascii="Arial" w:hAnsi="Arial"/>
                <w:b/>
                <w:i w:val="0"/>
                <w:color w:val="C0392B"/>
                <w:sz w:val="20"/>
              </w:rPr>
              <w:t>⚠  ATENCIÓN: El alumno presenta promedio por debajo del mínimo aprobatorio  ⚠</w:t>
            </w:r>
          </w:p>
        </w:tc>
      </w:tr>
    </w:tbl>
    <w:p/>
    <w:p>
      <w:pPr>
        <w:spacing w:after="120"/>
        <w:jc w:val="left"/>
      </w:pPr>
      <w:r>
        <w:rPr>
          <w:rFonts w:ascii="Arial" w:hAnsi="Arial"/>
          <w:b/>
          <w:i w:val="0"/>
          <w:color w:val="C0392B"/>
          <w:sz w:val="22"/>
        </w:rPr>
        <w:t>Recomendaciones para mejorar el desempeño académico:</w:t>
      </w:r>
    </w:p>
    <w:p>
      <w:pPr>
        <w:pStyle w:val="ListBullet"/>
        <w:spacing w:after="80"/>
      </w:pPr>
      <w:r>
        <w:rPr>
          <w:rFonts w:ascii="Arial" w:hAnsi="Arial"/>
          <w:b w:val="0"/>
          <w:i w:val="0"/>
          <w:sz w:val="20"/>
        </w:rPr>
        <w:t>Establecer un horario de estudio diario de al menos 2 horas en casa.</w:t>
      </w:r>
    </w:p>
    <w:p>
      <w:pPr>
        <w:pStyle w:val="ListBullet"/>
        <w:spacing w:after="80"/>
      </w:pPr>
      <w:r>
        <w:rPr>
          <w:rFonts w:ascii="Arial" w:hAnsi="Arial"/>
          <w:b w:val="0"/>
          <w:i w:val="0"/>
          <w:sz w:val="20"/>
        </w:rPr>
        <w:t>Solicitar asesoría adicional con los maestros de materias reprobadas.</w:t>
      </w:r>
    </w:p>
    <w:p>
      <w:pPr>
        <w:pStyle w:val="ListBullet"/>
        <w:spacing w:after="80"/>
      </w:pPr>
      <w:r>
        <w:rPr>
          <w:rFonts w:ascii="Arial" w:hAnsi="Arial"/>
          <w:b w:val="0"/>
          <w:i w:val="0"/>
          <w:sz w:val="20"/>
        </w:rPr>
        <w:t>Fomentar hábitos de lectura y repaso de apuntes de manera constante.</w:t>
      </w:r>
    </w:p>
    <w:p>
      <w:pPr>
        <w:pStyle w:val="ListBullet"/>
        <w:spacing w:after="80"/>
      </w:pPr>
      <w:r>
        <w:rPr>
          <w:rFonts w:ascii="Arial" w:hAnsi="Arial"/>
          <w:b w:val="0"/>
          <w:i w:val="0"/>
          <w:sz w:val="20"/>
        </w:rPr>
        <w:t>Agendar una reunión con el tutor escolar para diseñar un plan de mejora.</w:t>
      </w:r>
    </w:p>
    <w:p>
      <w:pPr>
        <w:pStyle w:val="ListBullet"/>
        <w:spacing w:after="80"/>
      </w:pPr>
      <w:r>
        <w:rPr>
          <w:rFonts w:ascii="Arial" w:hAnsi="Arial"/>
          <w:b w:val="0"/>
          <w:i w:val="0"/>
          <w:sz w:val="20"/>
        </w:rPr>
        <w:t>En Matemáticas (cal: 4): práctica adicional y revisión del primer bimestre.</w:t>
      </w:r>
    </w:p>
    <w:p>
      <w:pPr>
        <w:pStyle w:val="ListBullet"/>
        <w:spacing w:after="80"/>
      </w:pPr>
      <w:r>
        <w:rPr>
          <w:rFonts w:ascii="Arial" w:hAnsi="Arial"/>
          <w:b w:val="0"/>
          <w:i w:val="0"/>
          <w:sz w:val="20"/>
        </w:rPr>
        <w:t>En Español (cal: 5): práctica adicional y revisión del primer bimestre.</w:t>
      </w:r>
    </w:p>
    <w:p>
      <w:pPr>
        <w:pStyle w:val="ListBullet"/>
        <w:spacing w:after="80"/>
      </w:pPr>
      <w:r>
        <w:rPr>
          <w:rFonts w:ascii="Arial" w:hAnsi="Arial"/>
          <w:b w:val="0"/>
          <w:i w:val="0"/>
          <w:sz w:val="20"/>
        </w:rPr>
        <w:t>En Historia (cal: 4): práctica adicional y revisión del primer bimestre.</w:t>
      </w:r>
    </w:p>
    <w:p>
      <w:pPr>
        <w:pStyle w:val="ListBullet"/>
        <w:spacing w:after="80"/>
      </w:pPr>
      <w:r>
        <w:rPr>
          <w:rFonts w:ascii="Arial" w:hAnsi="Arial"/>
          <w:b w:val="0"/>
          <w:i w:val="0"/>
          <w:sz w:val="20"/>
        </w:rPr>
        <w:t>En Ciencias (cal: 5): práctica adicional y revisión del primer bimestre.</w:t>
      </w:r>
    </w:p>
    <w:p>
      <w:pPr>
        <w:pStyle w:val="ListBullet"/>
        <w:spacing w:after="80"/>
      </w:pPr>
      <w:r>
        <w:rPr>
          <w:rFonts w:ascii="Arial" w:hAnsi="Arial"/>
          <w:b w:val="0"/>
          <w:i w:val="0"/>
          <w:sz w:val="20"/>
        </w:rPr>
        <w:t>En Inglés (cal: 5): práctica adicional y revisión del primer bimestre.</w:t>
      </w:r>
    </w:p>
    <w:p/>
    <w:p>
      <w:pPr>
        <w:spacing w:after="160"/>
      </w:pPr>
      <w:r>
        <w:t>Hacemos un cordial llamado a fortalecer el acompañamiento en casa, motivando al alumno a mantener una actitud positiva frente al aprendizaje.</w:t>
      </w:r>
    </w:p>
    <w:p>
      <w:pPr>
        <w:spacing w:after="280"/>
      </w:pPr>
      <w:r>
        <w:t>Agradecemos su confianza y quedamos a sus órdenes para cualquier aclaración.</w:t>
      </w:r>
    </w:p>
    <w:p>
      <w:pPr>
        <w:spacing w:after="40"/>
        <w:jc w:val="left"/>
      </w:pPr>
      <w:r>
        <w:rPr>
          <w:rFonts w:ascii="Arial" w:hAnsi="Arial"/>
          <w:b w:val="0"/>
          <w:i w:val="0"/>
          <w:sz w:val="22"/>
        </w:rPr>
        <w:t>Atentamente,</w:t>
      </w:r>
    </w:p>
    <w:p>
      <w:pPr>
        <w:spacing w:after="600"/>
        <w:jc w:val="left"/>
      </w:pPr>
      <w:r>
        <w:rPr>
          <w:rFonts w:ascii="Arial" w:hAnsi="Arial"/>
          <w:b w:val="0"/>
          <w:i/>
          <w:color w:val="707070"/>
          <w:sz w:val="22"/>
        </w:rPr>
        <w:t>La Dirección Escolar</w:t>
      </w:r>
    </w:p>
    <w:tbl>
      <w:tblPr>
        <w:tblStyle w:val="TableGrid"/>
        <w:tblW w:type="auto" w:w="0"/>
        <w:tblLook w:firstColumn="1" w:firstRow="1" w:lastColumn="0" w:lastRow="0" w:noHBand="0" w:noVBand="1" w:val="04A0"/>
      </w:tblPr>
      <w:tblGrid>
        <w:gridCol w:w="9360"/>
      </w:tblGrid>
      <w:tr>
        <w:tc>
          <w:tcPr>
            <w:tcW w:type="dxa" w:w="9360"/>
            <w:shd w:val="clear" w:color="auto" w:fill="F5F5F5"/>
          </w:tcPr>
          <w:p>
            <w:pPr>
              <w:jc w:val="center"/>
            </w:pPr>
            <w:r>
              <w:rPr>
                <w:rFonts w:ascii="Arial" w:hAnsi="Arial"/>
                <w:b w:val="0"/>
                <w:i w:val="0"/>
                <w:sz w:val="20"/>
              </w:rPr>
              <w:t>_________________________________</w:t>
            </w:r>
          </w:p>
          <w:p>
            <w:pPr>
              <w:jc w:val="center"/>
            </w:pPr>
            <w:r>
              <w:rPr>
                <w:rFonts w:ascii="Arial" w:hAnsi="Arial"/>
                <w:b w:val="0"/>
                <w:i w:val="0"/>
                <w:color w:val="707070"/>
                <w:sz w:val="18"/>
              </w:rPr>
              <w:t>Firma y Sello Institucional</w:t>
            </w:r>
          </w:p>
        </w:tc>
      </w:tr>
    </w:tbl>
    <w:p/>
    <w:p>
      <w:pPr>
        <w:spacing w:before="200"/>
        <w:jc w:val="center"/>
        <w:pBdr>
          <w:top w:val="single" w:sz="6" w:space="4" w:color="1F497D"/>
        </w:pBdr>
      </w:pPr>
      <w:r>
        <w:rPr>
          <w:rFonts w:ascii="Arial" w:hAnsi="Arial"/>
          <w:b w:val="0"/>
          <w:i w:val="0"/>
          <w:color w:val="707070"/>
          <w:sz w:val="16"/>
        </w:rPr>
        <w:t>Conalep 169  |  Ciclo Escolar 2025–2026  |  Documento generado el 23 de marzo de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