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media/image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sz w:val="30"/>
          <w:szCs w:val="30"/>
        </w:rPr>
        <w:t>REQUISITOS Y ESPECIFICACIONES TÉCNICAS</w:t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b/>
          <w:bCs/>
          <w:sz w:val="26"/>
          <w:szCs w:val="26"/>
        </w:rPr>
        <w:t>DXXXXX</w:t>
      </w:r>
      <w:r>
        <w:rPr>
          <w:rFonts w:eastAsia="Arial" w:cs="Arial"/>
          <w:b/>
          <w:bCs/>
          <w:sz w:val="26"/>
          <w:szCs w:val="26"/>
        </w:rPr>
        <w:t>X</w:t>
      </w:r>
    </w:p>
    <w:p>
      <w:pPr>
        <w:pStyle w:val="Normal"/>
        <w:spacing w:before="0" w:after="320"/>
        <w:jc w:val="center"/>
        <w:rPr/>
      </w:pPr>
      <w:r>
        <w:rPr>
          <w:rFonts w:eastAsia="Arial" w:cs="Arial"/>
          <w:b/>
          <w:bCs/>
          <w:sz w:val="26"/>
          <w:szCs w:val="26"/>
        </w:rPr>
        <w:t>SERVICIO DE [COMPLETAR]</w:t>
      </w:r>
    </w:p>
    <w:p>
      <w:pPr>
        <w:pStyle w:val="Ttulo1"/>
        <w:keepNext w:val="true"/>
        <w:spacing w:before="280" w:after="120"/>
        <w:rPr/>
      </w:pPr>
      <w:r>
        <w:rPr>
          <w:rFonts w:eastAsia="Arial" w:cs="Arial" w:ascii="Arial" w:hAnsi="Arial"/>
          <w:b/>
          <w:bCs/>
          <w:sz w:val="23"/>
          <w:szCs w:val="23"/>
        </w:rPr>
        <w:t>1. Objeto</w:t>
      </w:r>
    </w:p>
    <w:p>
      <w:pPr>
        <w:pStyle w:val="Normal"/>
        <w:spacing w:lineRule="exact" w:line="276" w:before="0" w:after="120"/>
        <w:jc w:val="left"/>
        <w:rPr/>
      </w:pPr>
      <w:r>
        <w:rPr>
          <w:rFonts w:eastAsia="Arial" w:cs="Arial"/>
          <w:i w:val="false"/>
          <w:iCs w:val="false"/>
        </w:rPr>
        <w:t xml:space="preserve">Contratación del servicio de </w:t>
      </w:r>
      <w:r>
        <w:rPr>
          <w:rFonts w:eastAsia="Arial" w:cs="Arial"/>
          <w:i w:val="false"/>
          <w:iCs w:val="false"/>
          <w:color w:val="1B2A4A"/>
          <w:shd w:fill="E6E8EC" w:val="clear"/>
        </w:rPr>
        <w:t>[COMPLETAR]</w:t>
      </w:r>
      <w:r>
        <w:rPr>
          <w:rFonts w:eastAsia="Arial" w:cs="Arial"/>
          <w:i w:val="false"/>
          <w:iCs w:val="false"/>
        </w:rPr>
        <w:t>, de acuerdo con las condiciones y especificaciones establecidas en el presente documento, hasta un monto máximo de $ </w:t>
      </w:r>
      <w:r>
        <w:rPr>
          <w:rFonts w:eastAsia="Arial" w:cs="Arial"/>
          <w:i w:val="false"/>
          <w:iCs w:val="false"/>
          <w:color w:val="1B2A4A"/>
          <w:shd w:fill="E6E8EC" w:val="clear"/>
        </w:rPr>
        <w:t>[COMPLETAR]</w:t>
      </w:r>
      <w:r>
        <w:rPr>
          <w:rFonts w:eastAsia="Arial" w:cs="Arial"/>
          <w:i w:val="false"/>
          <w:iCs w:val="false"/>
        </w:rPr>
        <w:t>.</w:t>
      </w:r>
    </w:p>
    <w:p>
      <w:pPr>
        <w:pStyle w:val="Ttulo1"/>
        <w:keepNext w:val="true"/>
        <w:spacing w:before="280" w:after="120"/>
        <w:rPr/>
      </w:pPr>
      <w:r>
        <w:rPr>
          <w:rFonts w:eastAsia="Arial" w:cs="Arial" w:ascii="Arial" w:hAnsi="Arial"/>
          <w:b/>
          <w:bCs/>
          <w:sz w:val="23"/>
          <w:szCs w:val="23"/>
        </w:rPr>
        <w:t>2. Especificaciones del servicio</w:t>
      </w:r>
    </w:p>
    <w:p>
      <w:pPr>
        <w:pStyle w:val="Normal"/>
        <w:keepNext w:val="true"/>
        <w:spacing w:before="140" w:after="60"/>
        <w:rPr/>
      </w:pPr>
      <w:r>
        <w:rPr>
          <w:rFonts w:eastAsia="Arial" w:cs="Arial"/>
          <w:b/>
          <w:bCs/>
          <w:sz w:val="22"/>
          <w:szCs w:val="22"/>
        </w:rPr>
        <w:t>Descripción y alcance:</w:t>
      </w:r>
    </w:p>
    <w:p>
      <w:pPr>
        <w:pStyle w:val="Normal"/>
        <w:spacing w:lineRule="exact" w:line="276" w:before="0" w:after="200"/>
        <w:jc w:val="left"/>
        <w:rPr/>
      </w:pPr>
      <w:r>
        <w:rPr>
          <w:rFonts w:eastAsia="Arial" w:cs="Arial"/>
          <w:i w:val="false"/>
          <w:iCs w:val="false"/>
          <w:color w:val="1B2A4A"/>
          <w:shd w:fill="E6E8EC" w:val="clear"/>
        </w:rPr>
        <w:t>[COMPLETAR: describir qué servicio se necesita, sobre qué equipos, unidades, instalaciones o áreas, y qué comprende cada intervención.]</w:t>
      </w:r>
    </w:p>
    <w:p>
      <w:pPr>
        <w:pStyle w:val="Normal"/>
        <w:keepNext w:val="true"/>
        <w:spacing w:before="140" w:after="60"/>
        <w:rPr/>
      </w:pPr>
      <w:r>
        <w:rPr>
          <w:rFonts w:eastAsia="Arial" w:cs="Arial"/>
          <w:b/>
          <w:bCs/>
          <w:sz w:val="22"/>
          <w:szCs w:val="22"/>
        </w:rPr>
        <w:t>Condiciones particulares:</w:t>
      </w:r>
    </w:p>
    <w:p>
      <w:pPr>
        <w:pStyle w:val="Normal"/>
        <w:spacing w:lineRule="exact" w:line="276" w:before="0" w:after="120"/>
        <w:jc w:val="left"/>
        <w:rPr/>
      </w:pPr>
      <w:r>
        <w:rPr>
          <w:rFonts w:eastAsia="Arial" w:cs="Arial"/>
          <w:i w:val="false"/>
          <w:iCs w:val="false"/>
          <w:color w:val="1B2A4A"/>
          <w:shd w:fill="E6E8EC" w:val="clear"/>
        </w:rPr>
        <w:t>[COMPLETAR: detallar las condiciones técnicas específicas que debe cumplir el servicio.]</w:t>
      </w:r>
    </w:p>
    <w:p>
      <w:pPr>
        <w:pStyle w:val="Normal"/>
        <w:spacing w:lineRule="exact" w:line="252" w:before="40" w:after="160"/>
        <w:rPr/>
      </w:pPr>
      <w:r>
        <w:rPr>
          <w:rFonts w:eastAsia="Arial" w:cs="Arial"/>
          <w:i/>
          <w:iCs/>
          <w:color w:val="7A7A7A"/>
          <w:sz w:val="17"/>
          <w:szCs w:val="17"/>
        </w:rPr>
        <w:t>[Texto guía, eliminar antes de publicar: según corresponda, puede especificarse lugar de prestación, equipos o unidades comprendidas, características técnicas, materiales incluidos, tiempos de respuesta, plazo de ejecución, horarios o disponibilidad, personal requerido, garantías, documentación técnica a entregar y otras condiciones necesarias. Completar solo lo que corresponda a este servicio. Si se requieren antecedentes, personal especializado, herramientas o garantías, solicitarlos aquí en forma expresa]</w:t>
      </w:r>
    </w:p>
    <w:p>
      <w:pPr>
        <w:pStyle w:val="Ttulo1"/>
        <w:keepNext w:val="true"/>
        <w:spacing w:before="280" w:after="120"/>
        <w:rPr/>
      </w:pPr>
      <w:r>
        <w:rPr>
          <w:rFonts w:eastAsia="Arial" w:cs="Arial" w:ascii="Arial" w:hAnsi="Arial"/>
          <w:b/>
          <w:bCs/>
          <w:sz w:val="23"/>
          <w:szCs w:val="23"/>
        </w:rPr>
        <w:t>3. Cotización</w:t>
      </w:r>
    </w:p>
    <w:p>
      <w:pPr>
        <w:pStyle w:val="Normal"/>
        <w:spacing w:lineRule="exact" w:line="276" w:before="0" w:after="120"/>
        <w:jc w:val="left"/>
        <w:rPr/>
      </w:pPr>
      <w:r>
        <w:rPr>
          <w:rFonts w:eastAsia="Arial" w:cs="Arial"/>
          <w:i w:val="false"/>
          <w:iCs w:val="false"/>
        </w:rPr>
        <w:t>El oferente deberá cotizar un precio unitario para cada servicio o intervención detallada. Cada servicio efectivamente solicitado se valorará según esos precios.</w:t>
      </w:r>
    </w:p>
    <w:tbl>
      <w:tblPr>
        <w:tblW w:w="9185" w:type="dxa"/>
        <w:jc w:val="left"/>
        <w:tblInd w:w="0" w:type="dxa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CellMar>
          <w:top w:w="70" w:type="dxa"/>
          <w:left w:w="95" w:type="dxa"/>
          <w:bottom w:w="70" w:type="dxa"/>
          <w:right w:w="100" w:type="dxa"/>
        </w:tblCellMar>
      </w:tblPr>
      <w:tblGrid>
        <w:gridCol w:w="900"/>
        <w:gridCol w:w="4884"/>
        <w:gridCol w:w="1700"/>
        <w:gridCol w:w="1700"/>
      </w:tblGrid>
      <w:tr>
        <w:trPr>
          <w:tblHeader w:val="true"/>
          <w:cantSplit w:val="true"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shd w:color="auto" w:fill="E6E8EC" w:val="clear"/>
            <w:vAlign w:val="center"/>
          </w:tcPr>
          <w:p>
            <w:pPr>
              <w:pStyle w:val="Normal"/>
              <w:spacing w:lineRule="exact" w:line="250" w:before="0" w:after="0"/>
              <w:jc w:val="lef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sz w:val="19"/>
                <w:szCs w:val="19"/>
              </w:rPr>
              <w:t>Ítem</w:t>
            </w:r>
          </w:p>
        </w:tc>
        <w:tc>
          <w:tcPr>
            <w:tcW w:w="4884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shd w:color="auto" w:fill="E6E8EC" w:val="clear"/>
            <w:vAlign w:val="center"/>
          </w:tcPr>
          <w:p>
            <w:pPr>
              <w:pStyle w:val="Normal"/>
              <w:spacing w:lineRule="exact" w:line="250" w:before="0" w:after="0"/>
              <w:jc w:val="lef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sz w:val="19"/>
                <w:szCs w:val="19"/>
              </w:rPr>
              <w:t>Descripción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shd w:color="auto" w:fill="E6E8EC" w:val="clear"/>
            <w:vAlign w:val="center"/>
          </w:tcPr>
          <w:p>
            <w:pPr>
              <w:pStyle w:val="Normal"/>
              <w:spacing w:lineRule="exact" w:line="250" w:before="0" w:after="0"/>
              <w:jc w:val="lef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sz w:val="19"/>
                <w:szCs w:val="19"/>
              </w:rPr>
              <w:t>Unidad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shd w:color="auto" w:fill="E6E8EC" w:val="clear"/>
            <w:vAlign w:val="center"/>
          </w:tcPr>
          <w:p>
            <w:pPr>
              <w:pStyle w:val="Normal"/>
              <w:spacing w:lineRule="exact" w:line="250" w:before="0" w:after="0"/>
              <w:jc w:val="lef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sz w:val="19"/>
                <w:szCs w:val="19"/>
              </w:rPr>
              <w:t>Precio unitario</w:t>
            </w:r>
          </w:p>
        </w:tc>
      </w:tr>
      <w:tr>
        <w:trPr>
          <w:cantSplit w:val="true"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shd w:fill="auto" w:val="clear"/>
          </w:tcPr>
          <w:p>
            <w:pPr>
              <w:pStyle w:val="Normal"/>
              <w:spacing w:lineRule="exact" w:line="250" w:before="0" w:after="0"/>
              <w:jc w:val="center"/>
              <w:rPr/>
            </w:pPr>
            <w:r>
              <w:rPr>
                <w:rFonts w:eastAsia="Arial" w:cs="Arial"/>
                <w:i w:val="false"/>
                <w:iCs w:val="false"/>
                <w:sz w:val="19"/>
                <w:szCs w:val="19"/>
              </w:rPr>
              <w:t>1</w:t>
            </w:r>
          </w:p>
        </w:tc>
        <w:tc>
          <w:tcPr>
            <w:tcW w:w="4884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shd w:fill="auto" w:val="clear"/>
          </w:tcPr>
          <w:p>
            <w:pPr>
              <w:pStyle w:val="Normal"/>
              <w:spacing w:lineRule="exact" w:line="250" w:before="0" w:after="0"/>
              <w:jc w:val="left"/>
              <w:rPr/>
            </w:pPr>
            <w:r>
              <w:rPr>
                <w:rFonts w:eastAsia="Arial" w:cs="Arial"/>
                <w:i w:val="false"/>
                <w:iCs w:val="false"/>
                <w:color w:val="1B2A4A"/>
                <w:sz w:val="19"/>
                <w:szCs w:val="19"/>
                <w:shd w:fill="E6E8EC" w:val="clear"/>
              </w:rPr>
              <w:t>[COMPLETAR]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shd w:fill="auto" w:val="clear"/>
          </w:tcPr>
          <w:p>
            <w:pPr>
              <w:pStyle w:val="Normal"/>
              <w:spacing w:lineRule="exact" w:line="250" w:before="0" w:after="0"/>
              <w:jc w:val="left"/>
              <w:rPr/>
            </w:pPr>
            <w:r>
              <w:rPr>
                <w:rFonts w:eastAsia="Arial" w:cs="Arial"/>
                <w:i w:val="false"/>
                <w:iCs w:val="false"/>
                <w:color w:val="1B2A4A"/>
                <w:sz w:val="19"/>
                <w:szCs w:val="19"/>
                <w:shd w:fill="E6E8EC" w:val="clear"/>
              </w:rPr>
              <w:t>[COMPLETAR]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shd w:fill="auto" w:val="clear"/>
          </w:tcPr>
          <w:p>
            <w:pPr>
              <w:pStyle w:val="Normal"/>
              <w:spacing w:lineRule="exact" w:line="250" w:before="0" w:after="0"/>
              <w:jc w:val="left"/>
              <w:rPr/>
            </w:pPr>
            <w:r>
              <w:rPr>
                <w:rFonts w:eastAsia="Arial" w:cs="Arial"/>
                <w:i w:val="false"/>
                <w:iCs w:val="false"/>
                <w:sz w:val="19"/>
                <w:szCs w:val="19"/>
              </w:rPr>
              <w:t>$</w:t>
            </w:r>
          </w:p>
        </w:tc>
      </w:tr>
      <w:tr>
        <w:trPr>
          <w:cantSplit w:val="true"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shd w:fill="auto" w:val="clear"/>
          </w:tcPr>
          <w:p>
            <w:pPr>
              <w:pStyle w:val="Normal"/>
              <w:spacing w:lineRule="exact" w:line="250" w:before="0" w:after="0"/>
              <w:jc w:val="center"/>
              <w:rPr/>
            </w:pPr>
            <w:r>
              <w:rPr>
                <w:rFonts w:eastAsia="Arial" w:cs="Arial"/>
                <w:i w:val="false"/>
                <w:iCs w:val="false"/>
                <w:sz w:val="19"/>
                <w:szCs w:val="19"/>
              </w:rPr>
              <w:t>2</w:t>
            </w:r>
          </w:p>
        </w:tc>
        <w:tc>
          <w:tcPr>
            <w:tcW w:w="4884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shd w:fill="auto" w:val="clear"/>
          </w:tcPr>
          <w:p>
            <w:pPr>
              <w:pStyle w:val="Normal"/>
              <w:spacing w:lineRule="exact" w:line="250" w:before="0" w:after="0"/>
              <w:jc w:val="left"/>
              <w:rPr/>
            </w:pPr>
            <w:r>
              <w:rPr>
                <w:rFonts w:eastAsia="Arial" w:cs="Arial"/>
                <w:i w:val="false"/>
                <w:iCs w:val="false"/>
                <w:color w:val="1B2A4A"/>
                <w:sz w:val="19"/>
                <w:szCs w:val="19"/>
                <w:shd w:fill="E6E8EC" w:val="clear"/>
              </w:rPr>
              <w:t>[COMPLETAR]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shd w:fill="auto" w:val="clear"/>
          </w:tcPr>
          <w:p>
            <w:pPr>
              <w:pStyle w:val="Normal"/>
              <w:spacing w:lineRule="exact" w:line="250" w:before="0" w:after="0"/>
              <w:jc w:val="left"/>
              <w:rPr/>
            </w:pPr>
            <w:r>
              <w:rPr>
                <w:rFonts w:eastAsia="Arial" w:cs="Arial"/>
                <w:i w:val="false"/>
                <w:iCs w:val="false"/>
                <w:color w:val="1B2A4A"/>
                <w:sz w:val="19"/>
                <w:szCs w:val="19"/>
                <w:shd w:fill="E6E8EC" w:val="clear"/>
              </w:rPr>
              <w:t>[COMPLETAR]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shd w:fill="auto" w:val="clear"/>
          </w:tcPr>
          <w:p>
            <w:pPr>
              <w:pStyle w:val="Normal"/>
              <w:spacing w:lineRule="exact" w:line="250" w:before="0" w:after="0"/>
              <w:jc w:val="left"/>
              <w:rPr/>
            </w:pPr>
            <w:r>
              <w:rPr>
                <w:rFonts w:eastAsia="Arial" w:cs="Arial"/>
                <w:i w:val="false"/>
                <w:iCs w:val="false"/>
                <w:sz w:val="19"/>
                <w:szCs w:val="19"/>
              </w:rPr>
              <w:t>$</w:t>
            </w:r>
          </w:p>
        </w:tc>
      </w:tr>
      <w:tr>
        <w:trPr>
          <w:cantSplit w:val="true"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shd w:fill="auto" w:val="clear"/>
          </w:tcPr>
          <w:p>
            <w:pPr>
              <w:pStyle w:val="Normal"/>
              <w:spacing w:lineRule="exact" w:line="250" w:before="0" w:after="0"/>
              <w:jc w:val="center"/>
              <w:rPr/>
            </w:pPr>
            <w:r>
              <w:rPr>
                <w:rFonts w:eastAsia="Arial" w:cs="Arial"/>
                <w:i w:val="false"/>
                <w:iCs w:val="false"/>
                <w:sz w:val="19"/>
                <w:szCs w:val="19"/>
              </w:rPr>
              <w:t>3</w:t>
            </w:r>
          </w:p>
        </w:tc>
        <w:tc>
          <w:tcPr>
            <w:tcW w:w="4884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shd w:fill="auto" w:val="clear"/>
          </w:tcPr>
          <w:p>
            <w:pPr>
              <w:pStyle w:val="Normal"/>
              <w:spacing w:lineRule="exact" w:line="250" w:before="0" w:after="0"/>
              <w:jc w:val="left"/>
              <w:rPr/>
            </w:pPr>
            <w:r>
              <w:rPr>
                <w:rFonts w:eastAsia="Arial" w:cs="Arial"/>
                <w:i w:val="false"/>
                <w:iCs w:val="false"/>
                <w:color w:val="1B2A4A"/>
                <w:sz w:val="19"/>
                <w:szCs w:val="19"/>
                <w:shd w:fill="E6E8EC" w:val="clear"/>
              </w:rPr>
              <w:t>[COMPLETAR]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shd w:fill="auto" w:val="clear"/>
          </w:tcPr>
          <w:p>
            <w:pPr>
              <w:pStyle w:val="Normal"/>
              <w:spacing w:lineRule="exact" w:line="250" w:before="0" w:after="0"/>
              <w:jc w:val="left"/>
              <w:rPr/>
            </w:pPr>
            <w:r>
              <w:rPr>
                <w:rFonts w:eastAsia="Arial" w:cs="Arial"/>
                <w:i w:val="false"/>
                <w:iCs w:val="false"/>
                <w:color w:val="1B2A4A"/>
                <w:sz w:val="19"/>
                <w:szCs w:val="19"/>
                <w:shd w:fill="E6E8EC" w:val="clear"/>
              </w:rPr>
              <w:t>[COMPLETAR]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  <w:insideH w:val="single" w:sz="4" w:space="0" w:color="8C8C8C"/>
              <w:insideV w:val="single" w:sz="4" w:space="0" w:color="8C8C8C"/>
            </w:tcBorders>
            <w:shd w:fill="auto" w:val="clear"/>
          </w:tcPr>
          <w:p>
            <w:pPr>
              <w:pStyle w:val="Normal"/>
              <w:spacing w:lineRule="exact" w:line="250" w:before="0" w:after="0"/>
              <w:jc w:val="left"/>
              <w:rPr/>
            </w:pPr>
            <w:r>
              <w:rPr>
                <w:rFonts w:eastAsia="Arial" w:cs="Arial"/>
                <w:i w:val="false"/>
                <w:iCs w:val="false"/>
                <w:sz w:val="19"/>
                <w:szCs w:val="19"/>
              </w:rPr>
              <w:t>$</w:t>
            </w:r>
          </w:p>
        </w:tc>
      </w:tr>
    </w:tbl>
    <w:p>
      <w:pPr>
        <w:pStyle w:val="Normal"/>
        <w:spacing w:lineRule="exact" w:line="252" w:before="40" w:after="160"/>
        <w:rPr/>
      </w:pPr>
      <w:r>
        <w:rPr>
          <w:rFonts w:eastAsia="Arial" w:cs="Arial"/>
          <w:i/>
          <w:iCs/>
          <w:color w:val="7A7A7A"/>
          <w:sz w:val="17"/>
          <w:szCs w:val="17"/>
        </w:rPr>
        <w:t>[Texto guía, eliminar antes de publicar: agregar o quitar filas según corresponda. La unidad puede ser hora, intervención, jornada, visita, equipo, m² u otra. Si se necesitan cantidades estimadas, agregar la columna “Cantidad estimada” y mantener el párrafo siguiente]</w:t>
      </w:r>
    </w:p>
    <w:p>
      <w:pPr>
        <w:pStyle w:val="Normal"/>
        <w:spacing w:lineRule="exact" w:line="276" w:before="0" w:after="120"/>
        <w:jc w:val="left"/>
        <w:rPr/>
      </w:pPr>
      <w:r>
        <w:rPr>
          <w:rFonts w:eastAsia="Arial" w:cs="Arial"/>
          <w:i w:val="false"/>
          <w:iCs w:val="false"/>
        </w:rPr>
        <w:t>Las cantidades que se indiquen son estimativas. Los servicios se utilizarán según las necesidades de la Administración, dentro del monto de la contratación.</w:t>
      </w:r>
    </w:p>
    <w:p>
      <w:pPr>
        <w:pStyle w:val="Normal"/>
        <w:spacing w:lineRule="exact" w:line="276" w:before="0" w:after="120"/>
        <w:jc w:val="left"/>
        <w:rPr/>
      </w:pPr>
      <w:r>
        <w:rPr>
          <w:rFonts w:eastAsia="Arial" w:cs="Arial"/>
          <w:i w:val="false"/>
          <w:iCs w:val="false"/>
        </w:rPr>
        <w:t xml:space="preserve">Los precios se cotizarán en </w:t>
      </w:r>
      <w:r>
        <w:rPr>
          <w:rFonts w:eastAsia="Arial" w:cs="Arial"/>
          <w:i w:val="false"/>
          <w:iCs w:val="false"/>
          <w:color w:val="1B2A4A"/>
          <w:shd w:fill="E6E8EC" w:val="clear"/>
        </w:rPr>
        <w:t>[COMPLETAR: moneda]</w:t>
      </w:r>
      <w:r>
        <w:rPr>
          <w:rFonts w:eastAsia="Arial" w:cs="Arial"/>
          <w:i w:val="false"/>
          <w:iCs w:val="false"/>
        </w:rPr>
        <w:t xml:space="preserve">, </w:t>
      </w:r>
      <w:r>
        <w:rPr>
          <w:rFonts w:eastAsia="Arial" w:cs="Arial"/>
          <w:i w:val="false"/>
          <w:iCs w:val="false"/>
          <w:color w:val="1B2A4A"/>
          <w:shd w:fill="E6E8EC" w:val="clear"/>
        </w:rPr>
        <w:t>[COMPLETAR: con impuestos incluidos / sin impuestos incluidos]</w:t>
      </w:r>
      <w:r>
        <w:rPr>
          <w:rFonts w:eastAsia="Arial" w:cs="Arial"/>
          <w:i w:val="false"/>
          <w:iCs w:val="false"/>
        </w:rPr>
        <w:t>.</w:t>
      </w:r>
    </w:p>
    <w:p>
      <w:pPr>
        <w:pStyle w:val="Ttulo1"/>
        <w:keepNext w:val="true"/>
        <w:spacing w:before="280" w:after="120"/>
        <w:rPr/>
      </w:pPr>
      <w:r>
        <w:rPr>
          <w:rFonts w:eastAsia="Arial" w:cs="Arial" w:ascii="Arial" w:hAnsi="Arial"/>
          <w:b/>
          <w:bCs/>
          <w:sz w:val="23"/>
          <w:szCs w:val="23"/>
        </w:rPr>
        <w:t>4. Utilización de los servicios</w:t>
      </w:r>
    </w:p>
    <w:p>
      <w:pPr>
        <w:pStyle w:val="Normal"/>
        <w:spacing w:lineRule="exact" w:line="276" w:before="0" w:after="100"/>
        <w:jc w:val="left"/>
        <w:rPr/>
      </w:pPr>
      <w:r>
        <w:rPr>
          <w:rFonts w:eastAsia="Arial" w:cs="Arial"/>
          <w:i w:val="false"/>
          <w:iCs w:val="false"/>
        </w:rPr>
        <w:t>El monto de la contratación es un máximo disponible. La Administración no está obligada a consumirlo en su totalidad; los servicios se solicitarán según sus necesidades durante la vigencia de la contratación.</w:t>
      </w:r>
    </w:p>
    <w:p>
      <w:pPr>
        <w:pStyle w:val="Normal"/>
        <w:spacing w:lineRule="exact" w:line="276" w:before="0" w:after="60"/>
        <w:jc w:val="left"/>
        <w:rPr/>
      </w:pPr>
      <w:r>
        <w:rPr>
          <w:rFonts w:eastAsia="Arial" w:cs="Arial"/>
          <w:i w:val="false"/>
          <w:iCs w:val="false"/>
        </w:rPr>
        <w:t>El adjudicatario deberá respetar el procedimiento de utilización de servicios de la Gerencia de Suministros y Contrataciones:</w:t>
      </w:r>
    </w:p>
    <w:p>
      <w:pPr>
        <w:pStyle w:val="ListParagraph"/>
        <w:numPr>
          <w:ilvl w:val="0"/>
          <w:numId w:val="1"/>
        </w:numPr>
        <w:spacing w:lineRule="exact" w:line="264" w:before="0" w:after="80"/>
        <w:jc w:val="left"/>
        <w:rPr/>
      </w:pPr>
      <w:r>
        <w:rPr>
          <w:rFonts w:eastAsia="Arial" w:cs="Arial"/>
          <w:i w:val="false"/>
          <w:iCs w:val="false"/>
        </w:rPr>
        <w:t xml:space="preserve">Realizará servicios </w:t>
      </w:r>
      <w:r>
        <w:rPr>
          <w:rFonts w:eastAsia="Arial" w:cs="Arial"/>
          <w:b/>
          <w:bCs/>
          <w:i w:val="false"/>
          <w:iCs w:val="false"/>
        </w:rPr>
        <w:t>únicamente cuando sean solicitados y coordinados por la Gerencia de Suministros y Contrataciones</w:t>
      </w:r>
      <w:r>
        <w:rPr>
          <w:rFonts w:eastAsia="Arial" w:cs="Arial"/>
          <w:i w:val="false"/>
          <w:iCs w:val="false"/>
        </w:rPr>
        <w:t>, a través de su área de Compras.</w:t>
      </w:r>
    </w:p>
    <w:p>
      <w:pPr>
        <w:pStyle w:val="ListParagraph"/>
        <w:numPr>
          <w:ilvl w:val="0"/>
          <w:numId w:val="1"/>
        </w:numPr>
        <w:spacing w:lineRule="exact" w:line="264" w:before="0" w:after="80"/>
        <w:jc w:val="left"/>
        <w:rPr/>
      </w:pPr>
      <w:r>
        <w:rPr>
          <w:rFonts w:eastAsia="Arial" w:cs="Arial"/>
          <w:i w:val="false"/>
          <w:iCs w:val="false"/>
        </w:rPr>
        <w:t xml:space="preserve">Cada intervención deberá vincularse al </w:t>
      </w:r>
      <w:r>
        <w:rPr>
          <w:rFonts w:eastAsia="Arial" w:cs="Arial"/>
          <w:b/>
          <w:bCs/>
          <w:i w:val="false"/>
          <w:iCs w:val="false"/>
        </w:rPr>
        <w:t>pedido SAP</w:t>
      </w:r>
      <w:r>
        <w:rPr>
          <w:rFonts w:eastAsia="Arial" w:cs="Arial"/>
          <w:i w:val="false"/>
          <w:iCs w:val="false"/>
        </w:rPr>
        <w:t xml:space="preserve"> correspondiente, cuyo número se indicará al coordinar el trabajo.</w:t>
      </w:r>
    </w:p>
    <w:p>
      <w:pPr>
        <w:pStyle w:val="ListParagraph"/>
        <w:numPr>
          <w:ilvl w:val="0"/>
          <w:numId w:val="1"/>
        </w:numPr>
        <w:spacing w:lineRule="exact" w:line="264" w:before="0" w:after="80"/>
        <w:jc w:val="left"/>
        <w:rPr/>
      </w:pPr>
      <w:r>
        <w:rPr>
          <w:rFonts w:eastAsia="Arial" w:cs="Arial"/>
          <w:b/>
          <w:bCs/>
          <w:i w:val="false"/>
          <w:iCs w:val="false"/>
        </w:rPr>
        <w:t>No deberá ejecutar trabajos al margen de ese circuito.</w:t>
      </w:r>
    </w:p>
    <w:p>
      <w:pPr>
        <w:pStyle w:val="ListParagraph"/>
        <w:numPr>
          <w:ilvl w:val="0"/>
          <w:numId w:val="1"/>
        </w:numPr>
        <w:spacing w:lineRule="exact" w:line="264" w:before="0" w:after="80"/>
        <w:jc w:val="left"/>
        <w:rPr/>
      </w:pPr>
      <w:r>
        <w:rPr>
          <w:rFonts w:eastAsia="Arial" w:cs="Arial"/>
          <w:i w:val="false"/>
          <w:iCs w:val="false"/>
        </w:rPr>
        <w:t xml:space="preserve">Los trabajos deberán mantenerse </w:t>
      </w:r>
      <w:r>
        <w:rPr>
          <w:rFonts w:eastAsia="Arial" w:cs="Arial"/>
          <w:b/>
          <w:bCs/>
          <w:i w:val="false"/>
          <w:iCs w:val="false"/>
        </w:rPr>
        <w:t>dentro del saldo disponible del pedido.</w:t>
      </w:r>
    </w:p>
    <w:p>
      <w:pPr>
        <w:pStyle w:val="ListParagraph"/>
        <w:numPr>
          <w:ilvl w:val="0"/>
          <w:numId w:val="1"/>
        </w:numPr>
        <w:spacing w:lineRule="exact" w:line="264" w:before="0" w:after="80"/>
        <w:jc w:val="left"/>
        <w:rPr/>
      </w:pPr>
      <w:r>
        <w:rPr>
          <w:rFonts w:eastAsia="Arial" w:cs="Arial"/>
          <w:b/>
          <w:bCs/>
          <w:i w:val="false"/>
          <w:iCs w:val="false"/>
        </w:rPr>
        <w:t>Agotado el saldo del pedido, no podrán continuarse servicios con cargo al mismo</w:t>
      </w:r>
      <w:r>
        <w:rPr>
          <w:rFonts w:eastAsia="Arial" w:cs="Arial"/>
          <w:i w:val="false"/>
          <w:iCs w:val="false"/>
        </w:rPr>
        <w:t>, salvo que exista una nueva habilitación o contratación administrativa.</w:t>
      </w:r>
    </w:p>
    <w:p>
      <w:pPr>
        <w:pStyle w:val="Ttulo1"/>
        <w:keepNext w:val="true"/>
        <w:spacing w:before="280" w:after="120"/>
        <w:rPr/>
      </w:pPr>
      <w:r>
        <w:rPr>
          <w:rFonts w:eastAsia="Arial" w:cs="Arial" w:ascii="Arial" w:hAnsi="Arial"/>
          <w:b/>
          <w:bCs/>
          <w:sz w:val="23"/>
          <w:szCs w:val="23"/>
        </w:rPr>
        <w:t>5. Recepción y conformidad</w:t>
      </w:r>
    </w:p>
    <w:p>
      <w:pPr>
        <w:pStyle w:val="Normal"/>
        <w:spacing w:lineRule="exact" w:line="276" w:before="0" w:after="120"/>
        <w:jc w:val="left"/>
        <w:rPr/>
      </w:pPr>
      <w:r>
        <w:rPr>
          <w:rFonts w:eastAsia="Arial" w:cs="Arial"/>
          <w:i w:val="false"/>
          <w:iCs w:val="false"/>
        </w:rPr>
        <w:t>Finalizado cada servicio, el adjudicatario deberá entregar el remito o la documentación correspondiente, identificando el pedido SAP y detallando el trabajo realizado.</w:t>
      </w:r>
    </w:p>
    <w:p>
      <w:pPr>
        <w:pStyle w:val="Normal"/>
        <w:spacing w:lineRule="exact" w:line="276" w:before="0" w:after="120"/>
        <w:jc w:val="left"/>
        <w:rPr/>
      </w:pPr>
      <w:r>
        <w:rPr>
          <w:rFonts w:eastAsia="Arial" w:cs="Arial"/>
          <w:i w:val="false"/>
          <w:iCs w:val="false"/>
        </w:rPr>
        <w:t>La documentación presentada no constituye por sí sola la conformidad del servicio. La dependencia solicitante verificará técnicamente el trabajo y otorgará la conformidad correspondiente. Si el trabajo presenta observaciones, se comunicarán al adjudicatario para su corrección, según las condiciones de la contratación.</w:t>
      </w:r>
    </w:p>
    <w:p>
      <w:pPr>
        <w:pStyle w:val="Normal"/>
        <w:spacing w:lineRule="exact" w:line="276" w:before="0" w:after="120"/>
        <w:jc w:val="left"/>
        <w:rPr/>
      </w:pPr>
      <w:r>
        <w:rPr>
          <w:rFonts w:eastAsia="Arial" w:cs="Arial"/>
          <w:i w:val="false"/>
          <w:iCs w:val="false"/>
        </w:rPr>
        <w:t>Una vez otorgada la conformidad y cumplidos los requisitos administrativos, se emitirá la hoja de servicio en SAP, cuyo número será comunicado al adjudicatario para la facturación.</w:t>
      </w:r>
    </w:p>
    <w:p>
      <w:pPr>
        <w:pStyle w:val="Ttulo1"/>
        <w:keepNext w:val="true"/>
        <w:spacing w:before="280" w:after="120"/>
        <w:rPr/>
      </w:pPr>
      <w:r>
        <w:rPr>
          <w:rFonts w:eastAsia="Arial" w:cs="Arial" w:ascii="Arial" w:hAnsi="Arial"/>
          <w:b/>
          <w:bCs/>
          <w:sz w:val="23"/>
          <w:szCs w:val="23"/>
        </w:rPr>
        <w:t>6. Información de la oferta</w:t>
      </w:r>
    </w:p>
    <w:p>
      <w:pPr>
        <w:pStyle w:val="Normal"/>
        <w:spacing w:lineRule="exact" w:line="276" w:before="0" w:after="60"/>
        <w:jc w:val="left"/>
        <w:rPr/>
      </w:pPr>
      <w:r>
        <w:rPr>
          <w:rFonts w:eastAsia="Arial" w:cs="Arial"/>
          <w:i w:val="false"/>
          <w:iCs w:val="false"/>
        </w:rPr>
        <w:t>La oferta deberá incluir: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>
          <w:rFonts w:eastAsia="Arial" w:cs="Arial"/>
          <w:i w:val="false"/>
          <w:iCs w:val="false"/>
        </w:rPr>
        <w:t>Precios unitarios de cada ítem, según la tabla de la sección 3.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>
          <w:rFonts w:eastAsia="Arial" w:cs="Arial"/>
          <w:i w:val="false"/>
          <w:iCs w:val="false"/>
        </w:rPr>
        <w:t>Descripción o alcance de lo ofertado, cuando corresponda.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>
          <w:rFonts w:eastAsia="Arial" w:cs="Arial"/>
          <w:i w:val="false"/>
          <w:iCs w:val="false"/>
        </w:rPr>
        <w:t>Plazo de respuesta, si corresponde.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>
          <w:rFonts w:eastAsia="Arial" w:cs="Arial"/>
          <w:i w:val="false"/>
          <w:iCs w:val="false"/>
        </w:rPr>
        <w:t>Plazo de ejecución, si corresponde.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>
          <w:rFonts w:eastAsia="Arial" w:cs="Arial"/>
          <w:i w:val="false"/>
          <w:iCs w:val="false"/>
        </w:rPr>
        <w:t xml:space="preserve">Plazo de mantenimiento de la oferta: mínimo </w:t>
      </w:r>
      <w:r>
        <w:rPr>
          <w:rFonts w:eastAsia="Arial" w:cs="Arial"/>
          <w:i w:val="false"/>
          <w:iCs w:val="false"/>
          <w:color w:val="1B2A4A"/>
          <w:shd w:fill="E6E8EC" w:val="clear"/>
        </w:rPr>
        <w:t xml:space="preserve">30 </w:t>
      </w:r>
      <w:r>
        <w:rPr>
          <w:rFonts w:eastAsia="Arial" w:cs="Arial"/>
          <w:i w:val="false"/>
          <w:iCs w:val="false"/>
        </w:rPr>
        <w:t>días.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>
          <w:rFonts w:eastAsia="Arial" w:cs="Arial"/>
          <w:i w:val="false"/>
          <w:iCs w:val="false"/>
        </w:rPr>
        <w:t>Otra información técnica expresamente solicitada en las especificaciones del servicio.</w:t>
      </w:r>
    </w:p>
    <w:p>
      <w:pPr>
        <w:pStyle w:val="Normal"/>
        <w:spacing w:lineRule="exact" w:line="276" w:before="60" w:after="120"/>
        <w:jc w:val="left"/>
        <w:rPr/>
      </w:pPr>
      <w:r>
        <w:rPr>
          <w:rFonts w:eastAsia="Arial" w:cs="Arial"/>
          <w:i w:val="false"/>
          <w:iCs w:val="false"/>
        </w:rPr>
        <w:t>Todos los plazos deberán indicar si son hábiles o corridos. Si no se aclara, se entenderá que son corridos.</w:t>
      </w:r>
    </w:p>
    <w:p>
      <w:pPr>
        <w:pStyle w:val="Ttulo1"/>
        <w:keepNext w:val="true"/>
        <w:spacing w:before="280" w:after="120"/>
        <w:rPr/>
      </w:pPr>
      <w:r>
        <w:rPr>
          <w:rFonts w:eastAsia="Arial" w:cs="Arial" w:ascii="Arial" w:hAnsi="Arial"/>
          <w:b/>
          <w:bCs/>
          <w:sz w:val="23"/>
          <w:szCs w:val="23"/>
        </w:rPr>
        <w:t>7. Consideraciones generales</w:t>
      </w:r>
    </w:p>
    <w:p>
      <w:pPr>
        <w:pStyle w:val="ListParagraph"/>
        <w:numPr>
          <w:ilvl w:val="0"/>
          <w:numId w:val="1"/>
        </w:numPr>
        <w:spacing w:lineRule="exact" w:line="264" w:before="0" w:after="80"/>
        <w:jc w:val="left"/>
        <w:rPr/>
      </w:pPr>
      <w:r>
        <w:rPr>
          <w:rFonts w:eastAsia="Arial" w:cs="Arial"/>
          <w:i w:val="false"/>
          <w:iCs w:val="false"/>
        </w:rPr>
        <w:t>Las ofertas que no incluyan la información solicitada o la necesaria para realizar el estudio técnico podrán ser desestimadas.</w:t>
      </w:r>
    </w:p>
    <w:p>
      <w:pPr>
        <w:pStyle w:val="ListParagraph"/>
        <w:numPr>
          <w:ilvl w:val="0"/>
          <w:numId w:val="1"/>
        </w:numPr>
        <w:spacing w:lineRule="exact" w:line="264" w:before="0" w:after="80"/>
        <w:jc w:val="left"/>
        <w:rPr/>
      </w:pPr>
      <w:r>
        <w:rPr>
          <w:rFonts w:eastAsia="Arial" w:cs="Arial"/>
          <w:i w:val="false"/>
          <w:iCs w:val="false"/>
        </w:rPr>
        <w:t>La Intendencia de Montevideo se reserva el derecho de realizar adjudicaciones parciales, sin costo adicional para la Administración. La oferta se mantiene independientemente de los ítems que se adjudiquen.</w:t>
      </w:r>
    </w:p>
    <w:p>
      <w:pPr>
        <w:pStyle w:val="ListParagraph"/>
        <w:numPr>
          <w:ilvl w:val="0"/>
          <w:numId w:val="1"/>
        </w:numPr>
        <w:spacing w:lineRule="exact" w:line="264" w:before="0" w:after="80"/>
        <w:jc w:val="left"/>
        <w:rPr/>
      </w:pPr>
      <w:r>
        <w:rPr>
          <w:rFonts w:eastAsia="Arial" w:cs="Arial"/>
          <w:i w:val="false"/>
          <w:iCs w:val="false"/>
        </w:rPr>
        <w:t>Las consultas técnicas durante el llamado se canalizarán a través de la Gerencia de Suministros y Contrataciones.</w:t>
      </w:r>
    </w:p>
    <w:p>
      <w:pPr>
        <w:pStyle w:val="ListParagraph"/>
        <w:numPr>
          <w:ilvl w:val="0"/>
          <w:numId w:val="1"/>
        </w:numPr>
        <w:spacing w:lineRule="exact" w:line="264" w:before="0" w:after="80"/>
        <w:jc w:val="left"/>
        <w:rPr/>
      </w:pPr>
      <w:r>
        <w:rPr>
          <w:rFonts w:eastAsia="Arial" w:cs="Arial"/>
          <w:i w:val="false"/>
          <w:iCs w:val="false"/>
        </w:rPr>
        <w:t xml:space="preserve">Las ofertas se enviarán a: </w:t>
      </w:r>
      <w:r>
        <w:rPr>
          <w:rFonts w:eastAsia="Arial" w:cs="Arial"/>
          <w:b/>
          <w:bCs/>
          <w:i w:val="false"/>
          <w:iCs w:val="false"/>
        </w:rPr>
        <w:t>compras.limpieza@imm.gub.uy</w:t>
      </w:r>
    </w:p>
    <w:sectPr>
      <w:headerReference w:type="default" r:id="rId2"/>
      <w:footerReference w:type="default" r:id="rId3"/>
      <w:type w:val="nextPage"/>
      <w:pgSz w:w="11906" w:h="16838"/>
      <w:pgMar w:left="1474" w:right="1247" w:header="936" w:top="3744" w:footer="480" w:bottom="156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pBdr>
        <w:top w:val="single" w:sz="8" w:space="8" w:color="A6A6A6"/>
      </w:pBdr>
      <w:spacing w:before="0" w:after="20"/>
      <w:rPr/>
    </w:pPr>
    <w:r>
      <w:rPr>
        <w:rFonts w:eastAsia="Arial" w:cs="Arial"/>
        <w:sz w:val="16"/>
        <w:szCs w:val="16"/>
      </w:rPr>
      <w:t>Edificio Sede Av. 18 de Julio 1360. Piso 1 y 1/2 CP. 11200. Montevideo, Uruguay</w:t>
    </w:r>
  </w:p>
  <w:p>
    <w:pPr>
      <w:pStyle w:val="Normal"/>
      <w:tabs>
        <w:tab w:val="right" w:pos="9185" w:leader="none"/>
      </w:tabs>
      <w:spacing w:before="0" w:after="0"/>
      <w:rPr/>
    </w:pPr>
    <w:r>
      <w:rPr>
        <w:rFonts w:eastAsia="Arial" w:cs="Arial"/>
        <w:sz w:val="16"/>
        <w:szCs w:val="16"/>
      </w:rPr>
      <w:t>comprasyalmacenes.suministros@imm.gub.uy</w:t>
      <w:tab/>
      <w:t xml:space="preserve"> |  Página </w:t>
    </w:r>
    <w:r>
      <w:rPr/>
      <w:fldChar w:fldCharType="begin"/>
    </w:r>
    <w:r>
      <w:rPr/>
      <w:instrText> PAGE </w:instrText>
    </w:r>
    <w:r>
      <w:rPr/>
      <w:fldChar w:fldCharType="separate"/>
    </w:r>
    <w:r>
      <w:rPr/>
      <w:t>3</w:t>
    </w:r>
    <w:r>
      <w:rPr/>
      <w:fldChar w:fldCharType="end"/>
    </w:r>
    <w:r>
      <w:rPr>
        <w:rFonts w:eastAsia="Arial" w:cs="Arial"/>
        <w:sz w:val="16"/>
        <w:szCs w:val="16"/>
      </w:rPr>
      <w:t xml:space="preserve"> de </w:t>
    </w:r>
    <w:r>
      <w:rPr/>
      <w:fldChar w:fldCharType="begin"/>
    </w:r>
    <w:r>
      <w:rPr/>
      <w:instrText> NUMPAGES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pBdr>
        <w:bottom w:val="single" w:sz="8" w:space="6" w:color="A6A6A6"/>
      </w:pBdr>
      <w:spacing w:before="0" w:after="200"/>
      <w:rPr/>
    </w:pPr>
    <w:r>
      <w:rPr/>
      <w:drawing>
        <wp:inline distT="0" distB="0" distL="0" distR="0">
          <wp:extent cx="1876425" cy="514350"/>
          <wp:effectExtent l="0" t="0" r="0" b="0"/>
          <wp:docPr id="1" name="Imagen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76425" cy="5143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Normal"/>
      <w:spacing w:before="0" w:after="20"/>
      <w:rPr/>
    </w:pPr>
    <w:r>
      <w:rPr>
        <w:rFonts w:eastAsia="Arial" w:cs="Arial"/>
        <w:b/>
        <w:bCs/>
        <w:sz w:val="22"/>
        <w:szCs w:val="22"/>
      </w:rPr>
      <w:t>Departamento de Desarrollo Ambiental</w:t>
    </w:r>
  </w:p>
  <w:p>
    <w:pPr>
      <w:pStyle w:val="Normal"/>
      <w:spacing w:before="0" w:after="20"/>
      <w:rPr/>
    </w:pPr>
    <w:r>
      <w:rPr>
        <w:rFonts w:eastAsia="Arial" w:cs="Arial"/>
        <w:b/>
        <w:bCs/>
        <w:sz w:val="18"/>
        <w:szCs w:val="18"/>
      </w:rPr>
      <w:t>División Limpieza y Gestión de Residuos</w:t>
    </w:r>
  </w:p>
  <w:p>
    <w:pPr>
      <w:pStyle w:val="Normal"/>
      <w:pBdr>
        <w:bottom w:val="single" w:sz="8" w:space="14" w:color="A6A6A6"/>
      </w:pBdr>
      <w:spacing w:before="0" w:after="0"/>
      <w:rPr/>
    </w:pPr>
    <w:r>
      <w:rPr>
        <w:rFonts w:eastAsia="Arial" w:cs="Arial"/>
        <w:sz w:val="18"/>
        <w:szCs w:val="18"/>
      </w:rPr>
      <w:t>Gerencia de Suministros y Contrataciones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720" w:hanging="30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UY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</w:pPr>
    <w:rPr>
      <w:rFonts w:ascii="Arial" w:hAnsi="Arial" w:eastAsia="Arial" w:cs="Arial"/>
      <w:color w:val="auto"/>
      <w:kern w:val="0"/>
      <w:sz w:val="22"/>
      <w:szCs w:val="22"/>
      <w:lang w:val="es-UY" w:eastAsia="zh-CN" w:bidi="hi-IN"/>
    </w:rPr>
  </w:style>
  <w:style w:type="paragraph" w:styleId="Ttulo1">
    <w:name w:val="Heading 1"/>
    <w:basedOn w:val="Ttulo"/>
    <w:qFormat/>
    <w:pPr>
      <w:spacing w:before="280" w:after="120"/>
      <w:outlineLvl w:val="0"/>
    </w:pPr>
    <w:rPr>
      <w:rFonts w:ascii="Arial" w:hAnsi="Arial" w:eastAsia="Arial" w:cs="Arial"/>
      <w:b/>
      <w:bCs/>
      <w:color w:val="000000"/>
      <w:sz w:val="23"/>
      <w:szCs w:val="23"/>
    </w:rPr>
  </w:style>
  <w:style w:type="paragraph" w:styleId="Ttulo2">
    <w:name w:val="Heading 2"/>
    <w:basedOn w:val="Ttulo"/>
    <w:qFormat/>
    <w:pPr>
      <w:spacing w:before="160" w:after="80"/>
      <w:outlineLvl w:val="1"/>
    </w:pPr>
    <w:rPr>
      <w:rFonts w:ascii="Arial" w:hAnsi="Arial" w:eastAsia="Arial" w:cs="Arial"/>
      <w:b/>
      <w:bCs/>
      <w:color w:val="000000"/>
      <w:sz w:val="21"/>
      <w:szCs w:val="21"/>
    </w:rPr>
  </w:style>
  <w:style w:type="paragraph" w:styleId="Ttulo3">
    <w:name w:val="Heading 3"/>
    <w:basedOn w:val="Ttulo"/>
    <w:qFormat/>
    <w:pPr/>
    <w:rPr>
      <w:color w:val="1F4D78"/>
      <w:sz w:val="24"/>
      <w:szCs w:val="24"/>
    </w:rPr>
  </w:style>
  <w:style w:type="paragraph" w:styleId="Ttulo4">
    <w:name w:val="Heading 4"/>
    <w:basedOn w:val="Ttulo"/>
    <w:qFormat/>
    <w:pPr/>
    <w:rPr>
      <w:i/>
      <w:iCs/>
      <w:color w:val="2E74B5"/>
    </w:rPr>
  </w:style>
  <w:style w:type="paragraph" w:styleId="Ttulo5">
    <w:name w:val="Heading 5"/>
    <w:basedOn w:val="Ttulo"/>
    <w:qFormat/>
    <w:pPr/>
    <w:rPr>
      <w:color w:val="2E74B5"/>
    </w:rPr>
  </w:style>
  <w:style w:type="paragraph" w:styleId="Ttulo6">
    <w:name w:val="Heading 6"/>
    <w:basedOn w:val="Ttulo"/>
    <w:qFormat/>
    <w:pPr/>
    <w:rPr>
      <w:color w:val="1F4D78"/>
    </w:rPr>
  </w:style>
  <w:style w:type="character" w:styleId="EnlacedeInternet">
    <w:name w:val="Enlace de Internet"/>
    <w:uiPriority w:val="99"/>
    <w:unhideWhenUsed/>
    <w:rPr>
      <w:color w:val="0563C1"/>
      <w:u w:val="single"/>
    </w:rPr>
  </w:style>
  <w:style w:type="character" w:styleId="Ancladenotaalpie">
    <w:name w:val="Ancla de nota al pie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Ancladenotafinal">
    <w:name w:val="Ancla de nota final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Titular">
    <w:name w:val="Title"/>
    <w:basedOn w:val="Ttulo"/>
    <w:qFormat/>
    <w:pPr/>
    <w:rPr>
      <w:sz w:val="56"/>
      <w:szCs w:val="56"/>
    </w:rPr>
  </w:style>
  <w:style w:type="paragraph" w:styleId="Strong">
    <w:name w:val="Strong"/>
    <w:qFormat/>
    <w:pPr>
      <w:widowControl w:val="false"/>
    </w:pPr>
    <w:rPr>
      <w:rFonts w:ascii="Arial" w:hAnsi="Arial" w:eastAsia="Arial" w:cs="Arial"/>
      <w:b/>
      <w:bCs/>
      <w:color w:val="auto"/>
      <w:kern w:val="0"/>
      <w:sz w:val="22"/>
      <w:szCs w:val="22"/>
      <w:lang w:val="es-UY" w:eastAsia="zh-CN" w:bidi="hi-IN"/>
    </w:rPr>
  </w:style>
  <w:style w:type="paragraph" w:styleId="ListParagraph">
    <w:name w:val="List Paragraph"/>
    <w:qFormat/>
    <w:pPr>
      <w:widowControl w:val="false"/>
    </w:pPr>
    <w:rPr>
      <w:rFonts w:ascii="Arial" w:hAnsi="Arial" w:eastAsia="Arial" w:cs="Arial"/>
      <w:color w:val="auto"/>
      <w:kern w:val="0"/>
      <w:sz w:val="22"/>
      <w:szCs w:val="22"/>
      <w:lang w:val="es-UY" w:eastAsia="zh-CN" w:bidi="hi-IN"/>
    </w:rPr>
  </w:style>
  <w:style w:type="paragraph" w:styleId="Notaalpi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Notafinal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cera">
    <w:name w:val="Header"/>
    <w:basedOn w:val="Normal"/>
    <w:pPr/>
    <w:rPr/>
  </w:style>
  <w:style w:type="paragraph" w:styleId="Piedepgina">
    <w:name w:val="Footer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LibreOffice/6.0.7.3$Linux_X86_64 LibreOffice_project/00m0$Build-3</Application>
  <Pages>3</Pages>
  <Words>684</Words>
  <Characters>4149</Characters>
  <CharactersWithSpaces>4756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2026-09-21T19:23:37Z</dcterms:created>
  <dc:creator>Gerencia de Suministros y Contrataciones</dc:creator>
  <dc:description/>
  <dc:language>es-UY</dc:language>
  <cp:lastModifiedBy/>
  <dcterms:modified xsi:type="dcterms:W3CDTF">2026-09-21T16:25:48Z</dcterms:modified>
  <cp:revision>2</cp:revision>
  <dc:subject/>
  <dc:title/>
</cp:coreProperties>
</file>