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2A0A5B"/>
          <w:sz w:val="56"/>
          <w:szCs w:val="56"/>
        </w:rPr>
        <w:t xml:space="preserve">GestionContratos</w:t>
      </w:r>
    </w:p>
    <w:p>
      <w:pPr>
        <w:spacing w:after="120"/>
      </w:pPr>
      <w:r>
        <w:rPr>
          <w:rFonts w:ascii="Calibri" w:cs="Calibri" w:eastAsia="Calibri" w:hAnsi="Calibri"/>
          <w:color w:val="1F6FEB"/>
          <w:sz w:val="34"/>
          <w:szCs w:val="34"/>
        </w:rPr>
        <w:t xml:space="preserve">Especificación de requisitos y matriz de trazabilidad (SDD)</w:t>
      </w:r>
    </w:p>
    <w:p>
      <w:pPr>
        <w:pBdr>
          <w:bottom w:val="single" w:color="1F6FEB" w:sz="8" w:space="6"/>
        </w:pBdr>
        <w:spacing w:after="60"/>
      </w:pPr>
      <w:r>
        <w:rPr>
          <w:rFonts w:ascii="Calibri" w:cs="Calibri" w:eastAsia="Calibri" w:hAnsi="Calibri"/>
          <w:sz w:val="24"/>
          <w:szCs w:val="24"/>
        </w:rPr>
        <w:t xml:space="preserve">Sistema de gestión de contratos de alquiler de locales comerciales (MVP)</w:t>
      </w:r>
    </w:p>
    <w:p>
      <w:pPr>
        <w:spacing w:after="40" w:before="20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Proyecto integrador · Desarrollo de software agéntico con .NET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Autor: Yuri Grandez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Versión 1.0 · Octubre de 2026</w:t>
      </w:r>
    </w:p>
    <w:p>
      <w:pPr>
        <w:spacing w:after="120" w:before="600"/>
      </w:pPr>
      <w:r>
        <w:rPr>
          <w:rFonts w:ascii="Calibri" w:cs="Calibri" w:eastAsia="Calibri" w:hAnsi="Calibri"/>
          <w:b/>
          <w:bCs/>
          <w:color w:val="2A0A5B"/>
          <w:sz w:val="26"/>
          <w:szCs w:val="26"/>
        </w:rPr>
        <w:t xml:space="preserve">Contenido</w:t>
      </w:r>
    </w:p>
    <w:sdt>
      <w:sdtPr>
        <w:alias w:val="Contenid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Propósito y alcance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Enfoque de especificación y trazabilidad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Convención de identificadores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Actores y roles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1.4 Fases de implementación y commits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Requisitos funcionales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Reglas de negocio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4. Requisitos no funcionales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5. Matriz de trazabilidad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5.1 Requisitos funcionales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5.2 Reglas de negocio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5.3 Requisitos no funcionales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Cobertura de la trazabilidad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7. Fuera del MVP y brechas conocidas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8. Cómo usar este documento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Propósito y alcance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Este documento reúne las especificaciones del MVP de GestionContratos (requisitos funcionales, reglas de negocio y requisitos no funcionales) y las enlaza con el código y las pruebas que las implementan. Su objetivo es que cualquier requisito se pueda seguir en ambos sentidos: desde la necesidad hasta la prueba que la verifica, y desde una prueba o clase hasta el requisito que la justifica.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alcance es el MVP descrito en docs/Arquitectura.md: login y roles, maestros, contratos con autorización y cronograma, pagos, morosidad, analíticas y la aplicación web. Lo que quedó fuera del MVP se lista en la sección 7.</w:t>
      </w:r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Enfoque de especificación y trazabilidad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El proyecto sigue un enfoque guiado por especificaciones (SDD): primero se definieron el problema, la arquitectura y las reglas de negocio (docs/Arquitectura.md y los documentos de la carpeta Prompts), y luego se implementó por fases, con un commit por fase y pruebas que verifican cada regla. La cadena de trazabilidad 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Requisito (RF / RN / RNF)</w:t>
      </w:r>
      <w:r>
        <w:rPr>
          <w:rFonts w:ascii="Calibri" w:cs="Calibri" w:eastAsia="Calibri" w:hAnsi="Calibri"/>
        </w:rPr>
        <w:t xml:space="preserve"> → define qué debe hacer el sistema y cómo se acepta.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Fase y commit</w:t>
      </w:r>
      <w:r>
        <w:rPr>
          <w:rFonts w:ascii="Calibri" w:cs="Calibri" w:eastAsia="Calibri" w:hAnsi="Calibri"/>
        </w:rPr>
        <w:t xml:space="preserve"> → cuándo se implementó y cómo se recupera esa versión con git.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Backend y frontend</w:t>
      </w:r>
      <w:r>
        <w:rPr>
          <w:rFonts w:ascii="Calibri" w:cs="Calibri" w:eastAsia="Calibri" w:hAnsi="Calibri"/>
        </w:rPr>
        <w:t xml:space="preserve"> → endpoint, clase de negocio y pantalla que lo implementan.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Prueba</w:t>
      </w:r>
      <w:r>
        <w:rPr>
          <w:rFonts w:ascii="Calibri" w:cs="Calibri" w:eastAsia="Calibri" w:hAnsi="Calibri"/>
        </w:rPr>
        <w:t xml:space="preserve"> → prueba automática (xUnit o Vitest) o prueba manual que lo verifica.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Convención de identificadores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Prefijo</w:t>
            </w:r>
          </w:p>
        </w:tc>
        <w:tc>
          <w:tcPr>
            <w:tcW w:type="dxa" w:w="79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RF-nn</w:t>
            </w:r>
          </w:p>
        </w:tc>
        <w:tc>
          <w:tcPr>
            <w:tcW w:type="dxa" w:w="79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Requisito funcional: lo que el sistema permite hacer.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RN-nn</w:t>
            </w:r>
          </w:p>
        </w:tc>
        <w:tc>
          <w:tcPr>
            <w:tcW w:type="dxa" w:w="79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Regla de negocio: condición que el sistema siempre debe cumplir; se verifica con pruebas de validación y de reglas.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RNF-nn</w:t>
            </w:r>
          </w:p>
        </w:tc>
        <w:tc>
          <w:tcPr>
            <w:tcW w:type="dxa" w:w="79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Requisito no funcional: seguridad, arquitectura, calidad y despliegue.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Actores y roles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7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Operador (OPE)</w:t>
            </w:r>
          </w:p>
        </w:tc>
        <w:tc>
          <w:tcPr>
            <w:tcW w:type="dxa" w:w="7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Registra clientes y contratos en borrador, edita borradores, registra pagos y consulta morosidad y analíticas.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Administrador (ADM)</w:t>
            </w:r>
          </w:p>
        </w:tc>
        <w:tc>
          <w:tcPr>
            <w:tcW w:type="dxa" w:w="7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 lo del operador, más: administrar empresas y locales, desactivar clientes, autorizar y rescindir contratos, eliminar borradores, anular pagos y actualizar estados.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Sistema</w:t>
            </w:r>
          </w:p>
        </w:tc>
        <w:tc>
          <w:tcPr>
            <w:tcW w:type="dxa" w:w="7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Tarea de fondo que marca contratos vencidos y ajusta el estado de los locales cada 6 horas y al iniciar la API.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1.4 Fases de implementación y commits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6438"/>
      </w:tblGrid>
      <w:tr>
        <w:trPr>
          <w:tblHeader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0 y 1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8d9b903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Solución GestionContratos y scripts de BD (tablas, datos, vistas y datos de demostración).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2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0c6a73c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Núcleo técnico: entidades, DbContext, repositorios, Unit of Work, login JWT y pruebas.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3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4446ebf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Maestros (empresas, locales, clientes) y catálogos.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4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5d279ac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 y cronograma de cuotas.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5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4ca09e6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 y morosidad.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6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083a775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Analíticas del dashboard.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Fase 7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4e6043b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Frontend Angular 21.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Cierre</w:t>
            </w:r>
          </w:p>
        </w:tc>
        <w:tc>
          <w:tcPr>
            <w:tcW w:type="dxa" w:w="1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9b53fec</w:t>
            </w:r>
          </w:p>
        </w:tc>
        <w:tc>
          <w:tcPr>
            <w:tcW w:type="dxa" w:w="6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Manual de pruebas (debug e IIS) y hospedaje de la web en la API.</w:t>
            </w:r>
          </w:p>
        </w:tc>
      </w:tr>
    </w:tbl>
    <w:p>
      <w:r>
        <w:br w:type="page"/>
      </w:r>
    </w:p>
    <w:p>
      <w:pPr>
        <w:pStyle w:val="Heading1"/>
      </w:pPr>
      <w:bookmarkStart w:name="_Toc6" w:id="6"/>
      <w:r>
        <w:rPr>
          <w:rFonts w:ascii="Calibri" w:cs="Calibri" w:eastAsia="Calibri" w:hAnsi="Calibri"/>
        </w:rPr>
        <w:t xml:space="preserve">2. Requisitos funcionales</w:t>
      </w:r>
      <w:bookmarkEnd w:id="6"/>
    </w:p>
    <w:p>
      <w:pPr>
        <w:spacing w:after="120"/>
      </w:pPr>
      <w:r>
        <w:rPr>
          <w:rFonts w:ascii="Calibri" w:cs="Calibri" w:eastAsia="Calibri" w:hAnsi="Calibri"/>
        </w:rPr>
        <w:t xml:space="preserve">Cada requisito incluye su criterio de aceptación, es decir, la condición verificable que lo da por cumplido. La columna Rol indica quién puede ejecutarlo.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5438"/>
        <w:gridCol w:w="1200"/>
      </w:tblGrid>
      <w:tr>
        <w:trPr>
          <w:tblHeader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 de aceptación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Autenticación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usuario ingresa con usuario y clave y recibe un token JWT con su rol. Con credenciales incorrectas o token manipulado recibe 401.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Roles y permisos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Existen los roles Administrador y Operador. Las operaciones reservadas al administrador responden 403 al operador.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Catálogos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API entrega las listas para los formularios (tipos de documento, monedas, estados, medios de pago, conceptos). Un catálogo inexistente responde 404.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Gestión de clientes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Listar con búsqueda y paginación, obtener, crear, actualizar y desactivar. Crear y editar: cualquier usuario; desactivar: administrador. El código (CLI-NNNN, EMP-NNNN, LOC-NNNN) lo asigna el sistema al guardar y no se puede editar.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 / 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Gestión de empresas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Listar, obtener, crear, actualizar y desactivar empresas (RUC válido y único). Escritura solo del administrador. El código (CLI-NNNN, EMP-NNNN, LOC-NNNN) lo asigna el sistema al guardar y no se puede editar.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Gestión de locales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Listar con filtros (empresa, tipo, estado), obtener, crear, actualizar y desactivar locales. Escritura solo del administrador. El código (CLI-NNNN, EMP-NNNN, LOC-NNNN) lo asigna el sistema al guardar y no se puede editar.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Registro de contrato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 registra un contrato en estado Borrador con código generado CON-AAAA-NNNN, validando fechas, monto, día de pago, cliente, local y solapamiento.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Edición y eliminación de borradores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Solo un contrato en Borrador se puede editar o eliminar (eliminar: administrador). Un contrato vigente se rescinde.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 / 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Autorización de contrato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 administrador distinto de quien registró el contrato lo autoriza: pasa a Vigente, se genera el cronograma, se ocupa el local si ya inició y se registra un evento de auditoría.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Cronograma de cuotas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 autorizar se generan cuotas mensuales por concepto con monto mayor a cero, en el día de pago del contrato; se puede consultar con saldos y días de atraso.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Rescisión de contrato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administrador rescinde un contrato vigente indicando fecha efectiva y motivo: se acorta el fin, se anulan las cuotas futuras sin pagos y se libera el local.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Actualización de estados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Los contratos cuyo plazo terminó pasan a Vencido y se ajusta el estado de los locales, al iniciar la API, cada 6 horas y a pedido del administrador.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 / sistema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Registro de pagos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 registra un pago total o parcial aplicado a una cuota; la cuota pasa a Pago parcial o Pagada. Se pueden listar pagos por contrato, fechas y número de operación.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Anulación de pagos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administrador anula un pago con motivo; el pago deja de contar y la cuota vuelve al estado que corresponde.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Morosidad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 lista a los clientes con deuda vencida (cuotas, monto, días de atraso) y el detalle de cuotas vencidas por cliente.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Resumen del panel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panel muestra locales ocupados y disponibles, contratos vigentes, esperado y cobrado del mes, deuda vencida y contratos por vencer.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Ocupación de locales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Ocupados, en mantenimiento y disponibles por empresa, con porcentaje de ocupación a la fecha de hoy.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Ingresos mensuales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Comparación mes a mes de lo esperado contra lo cobrado, con rango por defecto de 12 meses y máximo de 60.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Antigüedad de la morosidad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Deuda vencida agrupada en 1-30, 31-60, 61-90 y más de 90 días.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 por vencer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 vigentes que terminan dentro de N días (1 a 365), del más próximo al más lejano.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Ranking de locales y clientes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Top de locales y clientes por monto cobrado en un período, con cantidad entre 1 y 50.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Aplicación web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Interfaz Angular que cubre el flujo completo: login, panel con gráficos, maestros, contratos, pagos y deudas, con rutas protegidas por rol. Los formularios preguntan con una ventana Sí/No si se intenta salir con cambios sin guardar.</w:t>
            </w:r>
          </w:p>
        </w:tc>
        <w:tc>
          <w:tcPr>
            <w:tcW w:type="dxa" w:w="1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</w:tr>
    </w:tbl>
    <w:p>
      <w:r>
        <w:br w:type="page"/>
      </w:r>
    </w:p>
    <w:p>
      <w:pPr>
        <w:pStyle w:val="Heading1"/>
      </w:pPr>
      <w:bookmarkStart w:name="_Toc7" w:id="7"/>
      <w:r>
        <w:rPr>
          <w:rFonts w:ascii="Calibri" w:cs="Calibri" w:eastAsia="Calibri" w:hAnsi="Calibri"/>
        </w:rPr>
        <w:t xml:space="preserve">3. Reglas de negocio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38"/>
        <w:gridCol w:w="1400"/>
      </w:tblGrid>
      <w:tr>
        <w:trPr>
          <w:tblHeader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Regla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RN-01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El sistema genera los códigos de cliente, empresa y local (CLI-NNNN, EMP-NNNN, LOC-NNNN) al guardar; no se escriben ni se editan, y son únicos, incluso frente a registros dados de baja.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RF-04, RF-05, RF-06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RN-02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documento se valida según el tipo: DNI de 8 dígitos y RUC de 11 dígitos (en empresas debe empezar con 10, 15, 16, 17 o 20). No se repite entre clientes.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RF-04, RF-05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RN-03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 se puede desactivar un cliente o local con contratos en borrador o vigentes, ni una empresa con locales activos.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RF-04, RF-05, RF-06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RN-04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estado de un local solo puede fijarse como Disponible o Mantenimiento; Ocupado lo define el contrato vigente. Un local ocupado no cambia de estado manualmente.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RN-05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 contrato exige fecha de fin posterior a la de inicio, duración máxima de 120 meses, monto de alquiler mayor a cero y día de pago entre 1 y 31.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RN-06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 local no puede tener dos contratos (borrador o vigente) con fechas que se crucen; un local en mantenimiento no se puede contratar. Los contratos contiguos sin cruce sí se permiten.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RF-07, RF-09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RN-07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 contrato lo autoriza un administrador distinto del que lo registró, y no se autoriza un contrato cuyo plazo ya terminó ni uno que ya no esté en borrador.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RN-08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primera cuota se cobra completa y vence el día de inicio si el día de pago ya pasó; el último mes se cobra completo y ninguna cuota vence después del fin. Con día de pago 30 o 31 se usa el último día de los meses cortos.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RN-09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Un pago no puede superar el saldo de la cuota, ni tener fecha futura o anterior al inicio del contrato, ni aplicarse a una cuota ya pagada.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RN-10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Estado de la cuota: Pendiente sin pagos, Pago parcial si queda saldo y Pagada si el saldo es cero. Se recalcula al registrar y al anular pagos.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RF-13, RF-14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RN-11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Los pagos simultáneos sobre una misma cuota se atienden uno tras otro (bloqueo de la fila), de modo que nunca se supera el monto de la cuota.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RN-12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anulación de un pago exige motivo, es una baja lógica y no se permite si el pago ya está asociado a un comprobante.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RN-13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mora no se guarda: una cuota está en mora si su vencimiento es anterior a hoy y aún tiene saldo.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RF-15, RF-19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RN-14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rescisión solo aplica a contratos vigentes, con fecha efectiva entre el inicio y hoy, y con motivo obligatorio.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RN-15</w:t>
            </w:r>
          </w:p>
        </w:tc>
        <w:tc>
          <w:tcPr>
            <w:tcW w:type="dxa" w:w="73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 cobrado de un mes cuenta los pagos recibidos en ese mes, aunque correspondan a cuotas anteriores (el porcentaje de cobranza puede superar 100).</w:t>
            </w:r>
          </w:p>
        </w:tc>
        <w:tc>
          <w:tcPr>
            <w:tcW w:type="dxa" w:w="14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8" w:id="8"/>
      <w:r>
        <w:rPr>
          <w:rFonts w:ascii="Calibri" w:cs="Calibri" w:eastAsia="Calibri" w:hAnsi="Calibri"/>
        </w:rPr>
        <w:t xml:space="preserve">4. Requisitos no funcionales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6638"/>
      </w:tblGrid>
      <w:tr>
        <w:trPr>
          <w:tblHeader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RNF-01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Seguridad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Claves con hash BCrypt, tokens JWT con expiración, todos los endpoints protegidos salvo login y salud. Cadena de conexión y clave JWT fuera del repositorio (user-secrets y variables de entorno).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RNF-02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Arquitectura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 capas con dependencias en un solo sentido (API, Negocio, Datos, Entidades, DTOs, Comun, Integraciones, Pruebas). La API no habla directo con Datos.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RNF-03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Integridad de datos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Baja lógica con filtro global de EF y auditoría automática de FechaCreacion y FechaModificacion.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RNF-04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Auditoría de operaciones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Autorizar contratos y registrar o anular pagos deja un evento en tabEVENTOS.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RNF-05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Respuestas de error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Errores de negocio como 400, no encontrado como 404, sin token 401 y sin permiso 403, mediante un manejador global (ProblemDetails). Nunca un 500 por una regla de negocio.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RNF-06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Pruebas reproducibles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Las pruebas de integración corren contra una BD separada (dbALQUILERES_TEST), nunca contra dbALQUILERES.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RNF-07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Despliegue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 API sirve la web compilada (wwwroot) para instalar un solo sitio en IIS; las rutas /api inexistentes devuelven 404 y nunca la página.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RNF-08</w:t>
            </w:r>
          </w:p>
        </w:tc>
        <w:tc>
          <w:tcPr>
            <w:tcW w:type="dxa" w:w="2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Usabilidad</w:t>
            </w:r>
          </w:p>
        </w:tc>
        <w:tc>
          <w:tcPr>
            <w:tcW w:type="dxa" w:w="66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Interfaz responsiva (menú en cajón y tablas como tarjetas en el celular) y accesible, con confirmaciones y avisos en las operaciones críticas.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5. Matriz de trazabilidad</w:t>
      </w:r>
      <w:bookmarkEnd w:id="9"/>
    </w:p>
    <w:p>
      <w:pPr>
        <w:spacing w:after="120"/>
      </w:pPr>
      <w:r>
        <w:rPr>
          <w:rFonts w:ascii="Calibri" w:cs="Calibri" w:eastAsia="Calibri" w:hAnsi="Calibri"/>
        </w:rPr>
        <w:t xml:space="preserve">Lectura: cada fila une un requisito con la fase y el commit donde se implementó, el backend (endpoint y clases), el frontend y las pruebas que lo verifican. Los números entre paréntesis indican cuántas pruebas hay en esa clase o grupo. Los nombres de pruebas se pueden buscar tal cual en la carpeta Backend/GestionContratos.Pruebas.</w:t>
      </w: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5.1 Requisitos funcionales</w:t>
      </w:r>
      <w:bookmarkEnd w:id="1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3500"/>
        <w:gridCol w:w="2800"/>
        <w:gridCol w:w="6370"/>
      </w:tblGrid>
      <w:tr>
        <w:trPr>
          <w:tblHeader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 · commit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Backend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Frontend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Pruebas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RF-01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F2 · 0c6a73c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/api/auth/login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/api/auth/yo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AuthServicio, GeneradorToken, HasherClave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features/login, core/auth (service, guards, interceptor)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AuthIntegracionTests (8)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AutenticacionUnitariaTests (hash y token)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login.spec, auth.spec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RF-02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F2–F5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Roles (ADM, OPE)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[Authorize(Roles = ...)] en los controllers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adminGuard, menú según rol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Casos *_ComoOperador_Devuelve403 en Clientes, Empresas, Locales, Contratos y Pagos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auth.spec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RF-03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F3 · 4446ebf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/api/catalogos y /{nombre}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CatalogosServicio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core/api/catalogos.api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CatalogosApiTests: TiposDocumento_IncluyeDniYRuc, Monedas_IncluyeSoles, CatalogoInexistente_Devuelve404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RF-04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F3 · 4446ebf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/api/clientes (GET, POST, PUT, DELETE)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ClientesServicio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features/clientes (lista, formulario)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ClientesApiTests (20)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clientes-lista.spec, validadores.spec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RF-05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F3 · 4446ebf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/api/empresas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EmpresasServicio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features/empresas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EmpresasApiTests (13)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RF-06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F3 · 4446ebf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/api/locales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LocalesServicio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features/locales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LocalesApiTests (17)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RF-07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F4 · 5d279ac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/api/contratos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ContratosServicio.Crear, tabSECUENCIA (SecuenciaGenerador)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features/contratos/contrato-form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ContratosApiTests: Crear_ComoOperador_QuedaEnBorradorConCodigoGenerado, Crear_DosContratos_RecibenCodigosDistintosYCrecientes, Crear_* de validación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contrato-form.spec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RF-08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F4 · 5d279ac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PUT y DELETE /api/contratos/{id}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contrato-form, contrato-detalle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ContratosApiTests: Actualizar_Borrador_ModificaLosDatos, Actualizar_ContratoVigente_Devuelve400, Desactivar_*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RF-09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F4 · 5d279ac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/api/contratos/{id}/autorizar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ContratosServicio.Autorizar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contrato-detalle (botón Autorizar)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ContratosApiTests: Autorizar_ComoAdmin_PasaAVigenteGeneraElCronogramaYOcupaElLocal, Autorizar_RegistradoPorElMismoUsuario_Devuelve400, Autorizar_RegistraUnEventoDeAuditoria, Autorizar_ContratoConPlazoTerminado_Devuelve400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RF-10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F4 · 5d279ac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/api/contratos/{id}/cronograma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GeneradorCronograma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vista vwCRONOGRAMA_SALDOS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contrato-detalle (tabla de cuotas)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GeneradorCronogramaTests (10)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ContratosApiTests: Cronograma_DiaDePago31_UsaElUltimoDiaDeLosMesesCortos, ContratosDeDemostracion_TienenCronogramaConSaldos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RF-11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F4 · 5d279ac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/api/contratos/{id}/rescindir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ContratosServicio.Rescindir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contratos/rescindir-dialogo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ContratosApiTests: Rescindir_ContratoVigente_CierraElContratoAnulaCuotasFuturasYLiberaElLocal, Rescindir_SinMotivo_Devuelve400, Rescindir_ConFechaFuturaOAnteriorAlInicio_Devuelve400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RF-12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F4 · 5d279ac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/api/contratos/actualizar-estados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ActualizadorEstadosContratos (BackgroundService)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contratos-lista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ContratosApiTests: ActualizarEstados_MarcaVencidoElContratoCuyoPlazoTermino_YLiberaElLocal, ActualizarEstados_ComoOperador_Devuelve403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RF-13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F5 · 4ca09e6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/api/pagos, GET /api/pagos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PagosServicio.Registrar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features/pagos (pagos-lista, pago-dialogo)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PagosApiTests: Registrar_PagoTotal_*, Registrar_PagoParcial_*, Registrar_MontoMayorAlSaldo_*, Registrar_CincoPagosSimultaneosDelSaldoCompleto_SoloUnoSeAcepta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EstadoCuotaTests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pago-dialogo.spec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RF-14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F5 · 4ca09e6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 /api/pagos/{id}/anular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PagosServicio.Anular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pagos/anular-pago-dialogo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PagosApiTests: Anular_PagoTotal_DevuelveLaCuotaAPendiente, Anular_SinMotivo_Devuelve400, Anular_ComoOperador_Devuelve403, AnularYVolverAPagar_PermitePagarElSaldoCompleto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anular-pago-dialogo.spec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RF-15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F5 · 4ca09e6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/api/morosidad y /{idCliente}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MorosidadServicio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vista vwMOROSIDAD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features/deudas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MorosidadApiTests (10)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RF-16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F6 · 083a775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/api/analiticas/resumen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AnaliticasServicio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features/panel, shared/kpi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AnaliticasApiTests: Resumen_ReuneLosIndicadoresDeLaEmpresa, Resumen_SinFiltro_ConsolidaTodasLasEmpresas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RF-17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F6 · 083a775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/api/analiticas/ocupacion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vwOCUPACION_LOCALES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panel, shared/graficos/barra-apilada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AnaliticasApiTests: Ocupacion_* (3)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RF-18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F6 · 083a775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/api/analiticas/ingresos-mensuales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vwINGRESOS_MENSUALES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panel, shared/graficos/columnas-ingresos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AnaliticasApiTests: IngresosMensuales_* (5)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escala.spec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RF-19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F6 · 083a775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/api/analiticas/morosidad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panel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AnaliticasApiTests: Morosidad_AgrupaLaDeudaVencidaPorAntiguedad, Morosidad_ClienteQuePagoTodoLoVencido_DevuelveCeros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RF-20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F6 · 083a775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/api/analiticas/contratos-por-vencer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vwCONTRATOS_POR_VENCER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panel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AnaliticasApiTests: ContratosPorVencer_* (3)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RF-21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F6 · 083a775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GET /api/analiticas/top-locales y top-clientes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panel, shared/graficos/barras-horizontales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AnaliticasApiTests: Tops_* (5)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RF-22</w:t>
            </w:r>
          </w:p>
        </w:tc>
        <w:tc>
          <w:tcPr>
            <w:tcW w:type="dxa" w:w="11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F7 · 4e6043b</w:t>
            </w:r>
          </w:p>
        </w:tc>
        <w:tc>
          <w:tcPr>
            <w:tcW w:type="dxa" w:w="35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 (consume la API)</w:t>
            </w:r>
          </w:p>
        </w:tc>
        <w:tc>
          <w:tcPr>
            <w:tcW w:type="dxa" w:w="2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Angular 21: app.routes, shell, shared/*, core/*</w:t>
            </w:r>
          </w:p>
        </w:tc>
        <w:tc>
          <w:tcPr>
            <w:tcW w:type="dxa" w:w="63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componentes.spec, formato.spec, fechas.spec, api.utils.spec, servicios-ui.spec, salir-sin-guardar.spec, codigo-automatico.spec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Manual_Pruebas/03_Lista_de_Pruebas.md (pruebas manuales)</w:t>
            </w:r>
          </w:p>
        </w:tc>
      </w:tr>
    </w:tbl>
    <w:p>
      <w:r>
        <w:br w:type="page"/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5.2 Reglas de negocio</w:t>
      </w:r>
      <w:bookmarkEnd w:id="1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9870"/>
      </w:tblGrid>
      <w:tr>
        <w:trPr>
          <w:tblHeader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Dónde se aplica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Pruebas que la verifican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RN-01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ClientesServicio, EmpresasServicio, LocalesServicio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Crear_AsignaCodigoAutomaticoConFormato, Crear_DosClientes/Empresas/Locales_RecibenCodigosDistintosYCrecientes y Crear_IgnoraElCodigoEnviadoPorElCliente (Clientes, Empresas y Locales); GeneradorCodigoTests (salta los códigos ya usados)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RN-02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ValidadorDocumento, EmpresasServicio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ValidadorDocumentoTests (3); Crear_DniConFormatoInvalido_Devuelve400; Crear_RucInvalido_Devuelve400; Crear_DocumentoDuplicado_Devuelve400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RN-03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Servicios de Clientes, Empresas y Locales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Desactivar_ClienteConContratoVigente_Devuelve400; Desactivar_EmpresaConLocales_Devuelve400; Desactivar_LocalOcupado_Devuelve400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RN-04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LocalesServicio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Crear_ComoOcupado_Devuelve400; Actualizar_CambiarEstadoDeLocalOcupado_Devuelve400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RN-05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 (validación)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Crear_FechaFinNoPosteriorAInicio_Devuelve400; Crear_DuracionMayorA120Meses_Devuelve400; Crear_MontoDeAlquilerCero_Devuelve400; Crear_DiaDePagoFueraDeRango_Devuelve400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RN-06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 (Crear y Autorizar)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Crear_FechasQueSeCruzanConOtroContratoDelLocal_Devuelve400; Crear_ContratoContiguoSinCruce_Devuelve201; Crear_LocalEnMantenimiento_Devuelve400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RN-07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ContratosServicio.Autorizar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Autorizar_RegistradoPorElMismoUsuario_Devuelve400; Autorizar_ContratoYaVigente_Devuelve400; Autorizar_ContratoConPlazoTerminado_Devuelve400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RN-08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GeneradorCronograma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PrimeraCuota_SeCobraCompletaYVenceElDiaDeInicioSiElDiaDePagoYaPaso; VigenciaQueNoCompletaElUltimoMes_CobraEseMesCompleto; NingunaCuotaVenceDespuesDelFinDelContrato; DiaDePago31_UsaElUltimoDiaDeMesesCortos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RN-09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PagosServicio.Registrar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Registrar_MontoMayorAlSaldo_Devuelve400YNoCambiaLaCuota; Registrar_FechaFutura_Devuelve400; Registrar_FechaAnteriorAlInicioDelContrato_Devuelve400; Registrar_CuotaYaPagada_Devuelve400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RN-10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EstadoCuota (cálculo)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EstadoCuotaTests; Registrar_PagoParcial_DejaLaCuotaEnPagoParcialYLuegoSeCompleta; Anular_UnoDeDosPagos_DejaLaCuotaEnPagoParcial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RN-11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PagosServicio (transacción con UPDLOCK)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Registrar_CincoPagosSimultaneosDelSaldoCompleto_SoloUnoSeAcepta; Registrar_PagosSimultaneosParciales_NuncaSuperanElMonto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RN-12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PagosServicio.Anular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Anular_SinMotivo_Devuelve400; Anular_DosVeces_LaSegundaDevuelve404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RN-13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MorosidadServicio, vwMOROSIDAD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Cronograma_MarcaLosDiasDeAtrasoDeLasCuotasVencidasSinPagar; PagoParcial_ReduceLaDeudaPeroLaCuotaSigueVencida; AnularUnPago_VuelveALaMorosidad; ContratoAlDia_NoApareceComoMoroso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RN-14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ContratosServicio.Rescindir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Rescindir_ContratoEnBorrador_Devuelve400; Rescindir_ConFechaFuturaOAnteriorAlInicio_Devuelve400; Rescindir_SinMotivo_Devuelve400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RN-15</w:t>
            </w:r>
          </w:p>
        </w:tc>
        <w:tc>
          <w:tcPr>
            <w:tcW w:type="dxa" w:w="38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AnaliticasServicio</w:t>
            </w:r>
          </w:p>
        </w:tc>
        <w:tc>
          <w:tcPr>
            <w:tcW w:type="dxa" w:w="98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IngresosMensuales_ElPagoCuentaEnElMesEnQueSeRecibeNoEnElDeLaCuota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5.3 Requisitos no funcionales</w:t>
      </w:r>
      <w:bookmarkEnd w:id="1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9570"/>
      </w:tblGrid>
      <w:tr>
        <w:trPr>
          <w:tblHeader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Dónde se aplica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RNF-01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HasherClave, GeneradorToken, ConfiguracionApi, docs/Configuracion.md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Hasher_DosHashesDeLaMismaClaveSonDistintos; Login_ClaveIncorrecta_Devuelve401; Yo_ConTokenManipulado_Devuelve401; SinToken_Devuelve401 (varios controllers)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RNF-02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Estructura de la solución; docs/Arquitectura.md §1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Revisión de referencias entre proyectos (.csproj); no tiene prueba automática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RNF-03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GestionContratosDbContext, Configuraciones/*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DatosIntegracionTests: Agregar_AsignaFechaCreacionAutomaticamente; Actualizar_AsignaFechaModificacionYConservaFechaCreacion; Desactivar_OcultaElRegistroEnLasConsultas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RNF-04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ContratosServicio.Autorizar, PagosServicio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Autorizar_RegistraUnEventoDeAuditoria; Registrar_DejaUnEventoDeAuditoria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RNF-05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ManejadorExcepciones, ExcepcionNegocio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Todas las pruebas *_Devuelve400 / 404 / 403 de las clases de integración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RNF-06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ApiFactory, PruebasApiBase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Salud_ConectaConLaBaseDeDatos; toda la suite de integración se ejecuta sobre dbALQUILERES_TEST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RNF-07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Program.cs (archivos estáticos y fallback)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HospedajeWebTests (5 pruebas: raíz sin caché, recarga de rutas, archivos estáticos, /api inexistente, API junto a la web)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RNF-08</w:t>
            </w:r>
          </w:p>
        </w:tc>
        <w:tc>
          <w:tcPr>
            <w:tcW w:type="dxa" w:w="40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Frontend: shared/*, layout/shell, styles.scss</w:t>
            </w:r>
          </w:p>
        </w:tc>
        <w:tc>
          <w:tcPr>
            <w:tcW w:type="dxa" w:w="957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Pruebas manuales (Manual_Pruebas/03_Lista_de_Pruebas.md); componentes.spec</w:t>
            </w:r>
          </w:p>
        </w:tc>
      </w:tr>
    </w:tbl>
    <w:p>
      <w:pPr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6. Cobertura de la trazabilidad</w:t>
      </w:r>
      <w:bookmarkEnd w:id="13"/>
    </w:p>
    <w:p>
      <w:pPr>
        <w:spacing w:after="120"/>
      </w:pPr>
      <w:r>
        <w:rPr>
          <w:rFonts w:ascii="Calibri" w:cs="Calibri" w:eastAsia="Calibri" w:hAnsi="Calibri"/>
        </w:rPr>
        <w:t xml:space="preserve">Resultado de cruzar los requisitos con el código y las pruebas: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Elemento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Requisitos funcionales especificados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22 (RF-01 a RF-22)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Reglas de negocio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 (RN-01 a RN-15), todas con al menos una prueba automática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Requisitos no funcionales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 (RNF-01 a RNF-08); 6 con prueba automática y 2 verificados por revisión o prueba manual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Pruebas del backend (xUnit)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186 métodos de prueba (unitarias e integración), sin contar los casos de las pruebas parametrizadas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Pruebas del frontend (Vitest)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181 pruebas en 16 archivos spec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Requisitos sin prueba automática de interfaz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RF-22 y RNF-08 se cubren con la lista de pruebas manuales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</w:rPr>
        <w:t xml:space="preserve">Nota: los conteos se obtuvieron del código del repositorio al redactar el documento (métodos con [Fact] o [Theory] en Backend/GestionContratos.Pruebas). Conviene actualizarlos si se agregan pruebas.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7. Fuera del MVP y brechas conocidas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Estos puntos no están implementados y por eso no tienen requisito funcional asociado. Quedan registrados para trabajarlos en una segunda etapa.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Elemento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2A0A5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Situación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Comprobantes y facturación electrónica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Las tablas existen en la BD; no hay API ni pantalla. El proyecto Integraciones está vacío.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Adendas y cambio de día de pago a mitad de contrato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Tabla existente; el cambio solo afectaría a las cuotas pendientes. No implementado.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Garantías, documentos adjuntos e incidencias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Tablas existentes, sin funcionalidad.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Pago que cubra varias cuotas a la vez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Hoy se registra un pago por cuota.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Gestión de roles y permisos, notificaciones por correo y reportes exportables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Fuera del MVP, definido así en docs/Arquitectura.md §3.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Pruebas automáticas de arquitectura (RNF-02) y de usabilidad (RNF-08)</w:t>
            </w:r>
          </w:p>
        </w:tc>
        <w:tc>
          <w:tcPr>
            <w:tcW w:type="dxa" w:w="5438"/>
            <w:tcBorders>
              <w:top w:val="single" w:color="C9CEE3" w:sz="4"/>
              <w:left w:val="single" w:color="C9CEE3" w:sz="4"/>
              <w:bottom w:val="single" w:color="C9CEE3" w:sz="4"/>
              <w:right w:val="single" w:color="C9CEE3" w:sz="4"/>
            </w:tcBorders>
            <w:shd w:fill="F5F6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 verifican por revisión y con la lista de pruebas manuales.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8. Cómo usar este documento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auditar un requisito: buscar su ID en la sección 5, abrir el commit indicado con git show y ejecutar las pruebas citadas con dotnet test --filter "FullyQualifiedName~NombreDeLaPrueba".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agregar una funcionalidad nueva: añadir primero el RF o RN con su criterio de aceptación, escribir la prueba y recién implementar; luego completar la fila de la matriz.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una demostración: los requisitos RF-07, RF-09, RF-13 y RF-16 corresponden al guion de demo de docs/Arquitectura.md (registrar contrato, autorizar, pagar y ver el panel).</w:t>
      </w: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GestionContratos · Especificación y trazabilidad · Página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</w:r>
    <w:r>
      <w:rPr>
        <w:rFonts w:ascii="Calibri" w:cs="Calibri" w:eastAsia="Calibri" w:hAnsi="Calibri"/>
        <w:color w:val="777777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777777"/>
        <w:sz w:val="16"/>
        <w:szCs w:val="16"/>
      </w:rPr>
      <w:fldChar w:fldCharType="separate"/>
    </w:r>
    <w:r>
      <w:rPr>
        <w:rFonts w:ascii="Calibri" w:cs="Calibri" w:eastAsia="Calibri" w:hAnsi="Calibri"/>
        <w:color w:val="777777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GestionContratos · Especificación y trazabilidad · Página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</w:r>
    <w:r>
      <w:rPr>
        <w:rFonts w:ascii="Calibri" w:cs="Calibri" w:eastAsia="Calibri" w:hAnsi="Calibri"/>
        <w:color w:val="777777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777777"/>
        <w:sz w:val="16"/>
        <w:szCs w:val="16"/>
      </w:rPr>
      <w:fldChar w:fldCharType="separate"/>
    </w:r>
    <w:r>
      <w:rPr>
        <w:rFonts w:ascii="Calibri" w:cs="Calibri" w:eastAsia="Calibri" w:hAnsi="Calibri"/>
        <w:color w:val="777777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GestionContratos · Especificación y trazabilidad · Página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</w:r>
    <w:r>
      <w:rPr>
        <w:rFonts w:ascii="Calibri" w:cs="Calibri" w:eastAsia="Calibri" w:hAnsi="Calibri"/>
        <w:color w:val="777777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777777"/>
        <w:sz w:val="16"/>
        <w:szCs w:val="16"/>
      </w:rPr>
      <w:fldChar w:fldCharType="separate"/>
    </w:r>
    <w:r>
      <w:rPr>
        <w:rFonts w:ascii="Calibri" w:cs="Calibri" w:eastAsia="Calibri" w:hAnsi="Calibri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2A0A5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6FEB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y matriz de trazabilidad - GestionContratos</dc:title>
  <dc:creator>Yuri Grandez</dc:creator>
  <cp:lastModifiedBy>Un-named</cp:lastModifiedBy>
  <cp:revision>1</cp:revision>
  <dcterms:created xsi:type="dcterms:W3CDTF">2026-10-25T02:15:10.490Z</dcterms:created>
  <dcterms:modified xsi:type="dcterms:W3CDTF">2026-10-25T02:15:10.491Z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