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2A0A5B"/>
          <w:sz w:val="56"/>
          <w:szCs w:val="56"/>
        </w:rPr>
        <w:t xml:space="preserve">GestionContratos</w:t>
      </w:r>
    </w:p>
    <w:p>
      <w:pPr>
        <w:spacing w:after="120"/>
      </w:pPr>
      <w:r>
        <w:rPr>
          <w:rFonts w:ascii="Calibri" w:cs="Calibri" w:eastAsia="Calibri" w:hAnsi="Calibri"/>
          <w:color w:val="1F6FEB"/>
          <w:sz w:val="34"/>
          <w:szCs w:val="34"/>
        </w:rPr>
        <w:t xml:space="preserve">Especificación de requisitos y matriz de trazabilidad (SDD)</w:t>
      </w:r>
    </w:p>
    <w:p>
      <w:pPr>
        <w:pBdr>
          <w:bottom w:val="single" w:color="1F6FEB" w:sz="8" w:space="6"/>
        </w:pBd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Sistema de gestión de contratos de alquiler de locales comerciales (MVP)</w:t>
      </w:r>
    </w:p>
    <w:p>
      <w:pPr>
        <w:spacing w:after="40" w:before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Proyecto integrador · Desarrollo de software agéntico con .NET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Autor: Yuri Grandez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Versión 1.0 · Octubre de 2026</w:t>
      </w:r>
    </w:p>
    <w:p>
      <w:pPr>
        <w:spacing w:after="120" w:before="600"/>
      </w:pPr>
      <w:r>
        <w:rPr>
          <w:rFonts w:ascii="Calibri" w:cs="Calibri" w:eastAsia="Calibri" w:hAnsi="Calibri"/>
          <w:b/>
          <w:bCs/>
          <w:color w:val="2A0A5B"/>
          <w:sz w:val="26"/>
          <w:szCs w:val="26"/>
        </w:rPr>
        <w:t xml:space="preserve">Contenido</w:t>
      </w:r>
    </w:p>
    <w:sdt>
      <w:sdtPr>
        <w:alias w:val="Contenid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Propósito y alcance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1.1 Enfoque de especificación y trazabilidad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1.2 Convención de identificadores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1.3 Actores y roles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1.4 Fases de implementación y commits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2. Requisitos funcionales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3. Reglas de negocio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4. Requisitos no funcionales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5. Matriz de trazabilidad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">
            <w:r>
              <w:t xml:space="preserve">5.1 Requisitos funcionales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5.2 Reglas de negocio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">
            <w:r>
              <w:t xml:space="preserve">5.3 Requisitos no funcionales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6. Cobertura de la trazabilidad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">
            <w:r>
              <w:t xml:space="preserve">7. Fuera del MVP y brechas conocidas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">
            <w:r>
              <w:t xml:space="preserve">8. Cómo usar este documento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rPr>
          <w:rFonts w:ascii="Calibri" w:cs="Calibri" w:eastAsia="Calibri" w:hAnsi="Calibri"/>
        </w:rPr>
        <w:t xml:space="preserve">1. Propósito y alcance</w:t>
      </w:r>
      <w:bookmarkEnd w:id="1"/>
    </w:p>
    <w:p>
      <w:pPr>
        <w:spacing w:after="120"/>
      </w:pPr>
      <w:r>
        <w:rPr>
          <w:rFonts w:ascii="Calibri" w:cs="Calibri" w:eastAsia="Calibri" w:hAnsi="Calibri"/>
        </w:rPr>
        <w:t xml:space="preserve">Este documento reúne las especificaciones del MVP de GestionContratos (requisitos funcionales, reglas de negocio y requisitos no funcionales) y las enlaza con el código y las pruebas que las implementan. Su objetivo es que cualquier requisito se pueda seguir en ambos sentidos: desde la necesidad hasta la prueba que la verifica, y desde una prueba o clase hasta el requisito que la justifica.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El alcance es el MVP descrito en docs/Arquitectura.md: login y roles, maestros, contratos con autorización y cronograma, pagos, morosidad, analíticas y la aplicación web. Lo que quedó fuera del MVP se lista en la sección 7.</w:t>
      </w:r>
    </w:p>
    <w:p>
      <w:pPr>
        <w:pStyle w:val="Heading2"/>
      </w:pPr>
      <w:bookmarkStart w:name="_Toc2" w:id="2"/>
      <w:r>
        <w:rPr>
          <w:rFonts w:ascii="Calibri" w:cs="Calibri" w:eastAsia="Calibri" w:hAnsi="Calibri"/>
        </w:rPr>
        <w:t xml:space="preserve">1.1 Enfoque de especificación y trazabilidad</w:t>
      </w:r>
      <w:bookmarkEnd w:id="2"/>
    </w:p>
    <w:p>
      <w:pPr>
        <w:spacing w:after="120"/>
      </w:pPr>
      <w:r>
        <w:rPr>
          <w:rFonts w:ascii="Calibri" w:cs="Calibri" w:eastAsia="Calibri" w:hAnsi="Calibri"/>
        </w:rPr>
        <w:t xml:space="preserve">El proyecto sigue un enfoque guiado por especificaciones (SDD): primero se definieron el problema, la arquitectura y las reglas de negocio (docs/Arquitectura.md y los documentos de la carpeta Prompts), y luego se implementó por fases, con un commit por fase y pruebas que verifican cada regla. La cadena de trazabilidad 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Requisito (RF / RN / RNF)</w:t>
      </w:r>
      <w:r>
        <w:rPr>
          <w:rFonts w:ascii="Calibri" w:cs="Calibri" w:eastAsia="Calibri" w:hAnsi="Calibri"/>
        </w:rPr>
        <w:t xml:space="preserve"> → define qué debe hacer el sistema y cómo se acepta.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Fase y commit</w:t>
      </w:r>
      <w:r>
        <w:rPr>
          <w:rFonts w:ascii="Calibri" w:cs="Calibri" w:eastAsia="Calibri" w:hAnsi="Calibri"/>
        </w:rPr>
        <w:t xml:space="preserve"> → cuándo se implementó y cómo se recupera esa versión con git.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Backend y frontend</w:t>
      </w:r>
      <w:r>
        <w:rPr>
          <w:rFonts w:ascii="Calibri" w:cs="Calibri" w:eastAsia="Calibri" w:hAnsi="Calibri"/>
        </w:rPr>
        <w:t xml:space="preserve"> → endpoint, clase de negocio y pantalla que lo implementan.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Prueba</w:t>
      </w:r>
      <w:r>
        <w:rPr>
          <w:rFonts w:ascii="Calibri" w:cs="Calibri" w:eastAsia="Calibri" w:hAnsi="Calibri"/>
        </w:rPr>
        <w:t xml:space="preserve"> → prueba automática (xUnit o Vitest) o prueba manual que lo verifica.</w:t>
      </w:r>
    </w:p>
    <w:p>
      <w:pPr>
        <w:pStyle w:val="Heading2"/>
      </w:pPr>
      <w:bookmarkStart w:name="_Toc3" w:id="3"/>
      <w:r>
        <w:rPr>
          <w:rFonts w:ascii="Calibri" w:cs="Calibri" w:eastAsia="Calibri" w:hAnsi="Calibri"/>
        </w:rPr>
        <w:t xml:space="preserve">1.2 Convención de identificadores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Prefijo</w:t>
            </w:r>
          </w:p>
        </w:tc>
        <w:tc>
          <w:tcPr>
            <w:tcW w:type="dxa" w:w="79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RF-nn</w:t>
            </w:r>
          </w:p>
        </w:tc>
        <w:tc>
          <w:tcPr>
            <w:tcW w:type="dxa" w:w="79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Requisito funcional: lo que el sistema permite hacer.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RN-nn</w:t>
            </w:r>
          </w:p>
        </w:tc>
        <w:tc>
          <w:tcPr>
            <w:tcW w:type="dxa" w:w="79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Regla de negocio: condición que el sistema siempre debe cumplir; se verifica con pruebas de validación y de reglas.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RNF-nn</w:t>
            </w:r>
          </w:p>
        </w:tc>
        <w:tc>
          <w:tcPr>
            <w:tcW w:type="dxa" w:w="79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Requisito no funcional: seguridad, arquitectura, calidad y despliegue.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4" w:id="4"/>
      <w:r>
        <w:rPr>
          <w:rFonts w:ascii="Calibri" w:cs="Calibri" w:eastAsia="Calibri" w:hAnsi="Calibri"/>
        </w:rPr>
        <w:t xml:space="preserve">1.3 Actores y roles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7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Operador (OPE)</w:t>
            </w:r>
          </w:p>
        </w:tc>
        <w:tc>
          <w:tcPr>
            <w:tcW w:type="dxa" w:w="7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Registra clientes y contratos en borrador, edita borradores, registra pagos y consulta morosidad y analíticas.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Administrador (ADM)</w:t>
            </w:r>
          </w:p>
        </w:tc>
        <w:tc>
          <w:tcPr>
            <w:tcW w:type="dxa" w:w="7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 lo del operador, más: administrar empresas y locales, desactivar clientes, autorizar y rescindir contratos, eliminar borradores, anular pagos y actualizar estados.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Sistema</w:t>
            </w:r>
          </w:p>
        </w:tc>
        <w:tc>
          <w:tcPr>
            <w:tcW w:type="dxa" w:w="7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Tarea de fondo que marca contratos vencidos y ajusta el estado de los locales cada 6 horas y al iniciar la API.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5" w:id="5"/>
      <w:r>
        <w:rPr>
          <w:rFonts w:ascii="Calibri" w:cs="Calibri" w:eastAsia="Calibri" w:hAnsi="Calibri"/>
        </w:rPr>
        <w:t xml:space="preserve">1.4 Fases de implementación y commits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6438"/>
      </w:tblGrid>
      <w:tr>
        <w:trPr>
          <w:tblHeader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6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Fase 0 y 1</w:t>
            </w:r>
          </w:p>
        </w:tc>
        <w:tc>
          <w:tcPr>
            <w:tcW w:type="dxa" w:w="1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8d9b903</w:t>
            </w:r>
          </w:p>
        </w:tc>
        <w:tc>
          <w:tcPr>
            <w:tcW w:type="dxa" w:w="6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Solución GestionContratos y scripts de BD (tablas, datos, vistas y datos de demostración).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Fase 2</w:t>
            </w:r>
          </w:p>
        </w:tc>
        <w:tc>
          <w:tcPr>
            <w:tcW w:type="dxa" w:w="1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0c6a73c</w:t>
            </w:r>
          </w:p>
        </w:tc>
        <w:tc>
          <w:tcPr>
            <w:tcW w:type="dxa" w:w="6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Núcleo técnico: entidades, DbContext, repositorios, Unit of Work, login JWT y pruebas.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Fase 3</w:t>
            </w:r>
          </w:p>
        </w:tc>
        <w:tc>
          <w:tcPr>
            <w:tcW w:type="dxa" w:w="1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4446ebf</w:t>
            </w:r>
          </w:p>
        </w:tc>
        <w:tc>
          <w:tcPr>
            <w:tcW w:type="dxa" w:w="6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Maestros (empresas, locales, clientes) y catálogos.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Fase 4</w:t>
            </w:r>
          </w:p>
        </w:tc>
        <w:tc>
          <w:tcPr>
            <w:tcW w:type="dxa" w:w="1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5d279ac</w:t>
            </w:r>
          </w:p>
        </w:tc>
        <w:tc>
          <w:tcPr>
            <w:tcW w:type="dxa" w:w="6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Contratos y cronograma de cuotas.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Fase 5</w:t>
            </w:r>
          </w:p>
        </w:tc>
        <w:tc>
          <w:tcPr>
            <w:tcW w:type="dxa" w:w="1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4ca09e6</w:t>
            </w:r>
          </w:p>
        </w:tc>
        <w:tc>
          <w:tcPr>
            <w:tcW w:type="dxa" w:w="6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Pagos y morosidad.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Fase 6</w:t>
            </w:r>
          </w:p>
        </w:tc>
        <w:tc>
          <w:tcPr>
            <w:tcW w:type="dxa" w:w="1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083a775</w:t>
            </w:r>
          </w:p>
        </w:tc>
        <w:tc>
          <w:tcPr>
            <w:tcW w:type="dxa" w:w="6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Analíticas del dashboard.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Fase 7</w:t>
            </w:r>
          </w:p>
        </w:tc>
        <w:tc>
          <w:tcPr>
            <w:tcW w:type="dxa" w:w="1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4e6043b</w:t>
            </w:r>
          </w:p>
        </w:tc>
        <w:tc>
          <w:tcPr>
            <w:tcW w:type="dxa" w:w="6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Frontend Angular 21.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Cierre</w:t>
            </w:r>
          </w:p>
        </w:tc>
        <w:tc>
          <w:tcPr>
            <w:tcW w:type="dxa" w:w="1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9b53fec</w:t>
            </w:r>
          </w:p>
        </w:tc>
        <w:tc>
          <w:tcPr>
            <w:tcW w:type="dxa" w:w="6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Manual de pruebas (debug e IIS) y hospedaje de la web en la API.</w:t>
            </w:r>
          </w:p>
        </w:tc>
      </w:tr>
    </w:tbl>
    <w:p>
      <w:r>
        <w:br w:type="page"/>
      </w:r>
    </w:p>
    <w:p>
      <w:pPr>
        <w:pStyle w:val="Heading1"/>
      </w:pPr>
      <w:bookmarkStart w:name="_Toc6" w:id="6"/>
      <w:r>
        <w:rPr>
          <w:rFonts w:ascii="Calibri" w:cs="Calibri" w:eastAsia="Calibri" w:hAnsi="Calibri"/>
        </w:rPr>
        <w:t xml:space="preserve">2. Requisitos funcionales</w:t>
      </w:r>
      <w:bookmarkEnd w:id="6"/>
    </w:p>
    <w:p>
      <w:pPr>
        <w:spacing w:after="120"/>
      </w:pPr>
      <w:r>
        <w:rPr>
          <w:rFonts w:ascii="Calibri" w:cs="Calibri" w:eastAsia="Calibri" w:hAnsi="Calibri"/>
        </w:rPr>
        <w:t xml:space="preserve">Cada requisito incluye su criterio de aceptación, es decir, la condición verificable que lo da por cumplido. La columna Rol indica quién puede ejecutarlo.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5438"/>
        <w:gridCol w:w="1200"/>
      </w:tblGrid>
      <w:tr>
        <w:trPr>
          <w:tblHeader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 de aceptación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RF-01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usuario ingresa con usuario y clave y recibe un token JWT con su rol. Con credenciales incorrectas o token manipulado recibe 401.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RF-02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Roles y permisos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Existen los roles Administrador y Operador. Las operaciones reservadas al administrador responden 403 al operador.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RF-03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Catálogos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API entrega las listas para los formularios (tipos de documento, monedas, estados, medios de pago, conceptos). Un catálogo inexistente responde 404.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RF-04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Gestión de clientes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Listar con búsqueda y paginación, obtener, crear, actualizar y desactivar. Crear y editar: cualquier usuario; desactivar: administrador.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 / ADM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RF-05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Gestión de empresas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Listar, obtener, crear, actualizar y desactivar empresas (RUC válido y único). Escritura solo del administrador.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RF-06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Gestión de locales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Listar con filtros (empresa, tipo, estado), obtener, crear, actualizar y desactivar locales. Escritura solo del administrador.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RF-07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Registro de contrato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 registra un contrato en estado Borrador con código generado CON-AAAA-NNNN, validando fechas, monto, día de pago, cliente, local y solapamiento.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RF-08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Edición y eliminación de borradores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Solo un contrato en Borrador se puede editar o eliminar (eliminar: administrador). Un contrato vigente se rescinde.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 / ADM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RF-09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Autorización de contrato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 administrador distinto de quien registró el contrato lo autoriza: pasa a Vigente, se genera el cronograma, se ocupa el local si ya inició y se registra un evento de auditoría.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RF-10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Cronograma de cuotas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 autorizar se generan cuotas mensuales por concepto con monto mayor a cero, en el día de pago del contrato; se puede consultar con saldos y días de atraso.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RF-11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Rescisión de contrato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administrador rescinde un contrato vigente indicando fecha efectiva y motivo: se acorta el fin, se anulan las cuotas futuras sin pagos y se libera el local.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RF-12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Actualización de estados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Los contratos cuyo plazo terminó pasan a Vencido y se ajusta el estado de los locales, al iniciar la API, cada 6 horas y a pedido del administrador.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 / sistema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RF-13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Registro de pagos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 registra un pago total o parcial aplicado a una cuota; la cuota pasa a Pago parcial o Pagada. Se pueden listar pagos por contrato, fechas y número de operación.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RF-14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Anulación de pagos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administrador anula un pago con motivo; el pago deja de contar y la cuota vuelve al estado que corresponde.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RF-15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Morosidad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 lista a los clientes con deuda vencida (cuotas, monto, días de atraso) y el detalle de cuotas vencidas por cliente.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RF-16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Resumen del panel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panel muestra locales ocupados y disponibles, contratos vigentes, esperado y cobrado del mes, deuda vencida y contratos por vencer.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RF-17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Ocupación de locales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Ocupados, en mantenimiento y disponibles por empresa, con porcentaje de ocupación a la fecha de hoy.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RF-18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Ingresos mensuales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Comparación mes a mes de lo esperado contra lo cobrado, con rango por defecto de 12 meses y máximo de 60.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RF-19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Antigüedad de la morosidad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Deuda vencida agrupada en 1-30, 31-60, 61-90 y más de 90 días.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RF-20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Contratos por vencer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Contratos vigentes que terminan dentro de N días (1 a 365), del más próximo al más lejano.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RF-21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Ranking de locales y clientes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Top de locales y clientes por monto cobrado en un período, con cantidad entre 1 y 50.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RF-22</w:t>
            </w:r>
          </w:p>
        </w:tc>
        <w:tc>
          <w:tcPr>
            <w:tcW w:type="dxa" w:w="2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Aplicación web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Interfaz Angular que cubre el flujo completo: login, panel con gráficos, maestros, contratos, pagos y deudas, con rutas protegidas por rol.</w:t>
            </w:r>
          </w:p>
        </w:tc>
        <w:tc>
          <w:tcPr>
            <w:tcW w:type="dxa" w:w="1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</w:tr>
    </w:tbl>
    <w:p>
      <w:r>
        <w:br w:type="page"/>
      </w:r>
    </w:p>
    <w:p>
      <w:pPr>
        <w:pStyle w:val="Heading1"/>
      </w:pPr>
      <w:bookmarkStart w:name="_Toc7" w:id="7"/>
      <w:r>
        <w:rPr>
          <w:rFonts w:ascii="Calibri" w:cs="Calibri" w:eastAsia="Calibri" w:hAnsi="Calibri"/>
        </w:rPr>
        <w:t xml:space="preserve">3. Reglas de negocio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38"/>
        <w:gridCol w:w="1400"/>
      </w:tblGrid>
      <w:tr>
        <w:trPr>
          <w:tblHeader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1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RN-01</w:t>
            </w:r>
          </w:p>
        </w:tc>
        <w:tc>
          <w:tcPr>
            <w:tcW w:type="dxa" w:w="7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Los códigos de cliente, empresa y local son únicos, incluso frente a registros dados de baja.</w:t>
            </w:r>
          </w:p>
        </w:tc>
        <w:tc>
          <w:tcPr>
            <w:tcW w:type="dxa" w:w="1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RF-04, RF-05, RF-06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RN-02</w:t>
            </w:r>
          </w:p>
        </w:tc>
        <w:tc>
          <w:tcPr>
            <w:tcW w:type="dxa" w:w="7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documento se valida según el tipo: DNI de 8 dígitos y RUC de 11 dígitos (en empresas debe empezar con 10, 15, 16, 17 o 20). No se repite entre clientes.</w:t>
            </w:r>
          </w:p>
        </w:tc>
        <w:tc>
          <w:tcPr>
            <w:tcW w:type="dxa" w:w="1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RF-04, RF-05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RN-03</w:t>
            </w:r>
          </w:p>
        </w:tc>
        <w:tc>
          <w:tcPr>
            <w:tcW w:type="dxa" w:w="7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se puede desactivar un cliente o local con contratos en borrador o vigentes, ni una empresa con locales activos.</w:t>
            </w:r>
          </w:p>
        </w:tc>
        <w:tc>
          <w:tcPr>
            <w:tcW w:type="dxa" w:w="1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RF-04, RF-05, RF-06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RN-04</w:t>
            </w:r>
          </w:p>
        </w:tc>
        <w:tc>
          <w:tcPr>
            <w:tcW w:type="dxa" w:w="7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estado de un local solo puede fijarse como Disponible o Mantenimiento; Ocupado lo define el contrato vigente. Un local ocupado no cambia de estado manualmente.</w:t>
            </w:r>
          </w:p>
        </w:tc>
        <w:tc>
          <w:tcPr>
            <w:tcW w:type="dxa" w:w="1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RN-05</w:t>
            </w:r>
          </w:p>
        </w:tc>
        <w:tc>
          <w:tcPr>
            <w:tcW w:type="dxa" w:w="7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 contrato exige fecha de fin posterior a la de inicio, duración máxima de 120 meses, monto de alquiler mayor a cero y día de pago entre 1 y 31.</w:t>
            </w:r>
          </w:p>
        </w:tc>
        <w:tc>
          <w:tcPr>
            <w:tcW w:type="dxa" w:w="1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RN-06</w:t>
            </w:r>
          </w:p>
        </w:tc>
        <w:tc>
          <w:tcPr>
            <w:tcW w:type="dxa" w:w="7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 local no puede tener dos contratos (borrador o vigente) con fechas que se crucen; un local en mantenimiento no se puede contratar. Los contratos contiguos sin cruce sí se permiten.</w:t>
            </w:r>
          </w:p>
        </w:tc>
        <w:tc>
          <w:tcPr>
            <w:tcW w:type="dxa" w:w="1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RF-07, RF-09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RN-07</w:t>
            </w:r>
          </w:p>
        </w:tc>
        <w:tc>
          <w:tcPr>
            <w:tcW w:type="dxa" w:w="7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contrato lo autoriza un administrador distinto del que lo registró, y no se autoriza un contrato cuyo plazo ya terminó ni uno que ya no esté en borrador.</w:t>
            </w:r>
          </w:p>
        </w:tc>
        <w:tc>
          <w:tcPr>
            <w:tcW w:type="dxa" w:w="1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RN-08</w:t>
            </w:r>
          </w:p>
        </w:tc>
        <w:tc>
          <w:tcPr>
            <w:tcW w:type="dxa" w:w="7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primera cuota se cobra completa y vence el día de inicio si el día de pago ya pasó; el último mes se cobra completo y ninguna cuota vence después del fin. Con día de pago 30 o 31 se usa el último día de los meses cortos.</w:t>
            </w:r>
          </w:p>
        </w:tc>
        <w:tc>
          <w:tcPr>
            <w:tcW w:type="dxa" w:w="1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RN-09</w:t>
            </w:r>
          </w:p>
        </w:tc>
        <w:tc>
          <w:tcPr>
            <w:tcW w:type="dxa" w:w="7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 pago no puede superar el saldo de la cuota, ni tener fecha futura o anterior al inicio del contrato, ni aplicarse a una cuota ya pagada.</w:t>
            </w:r>
          </w:p>
        </w:tc>
        <w:tc>
          <w:tcPr>
            <w:tcW w:type="dxa" w:w="1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RN-10</w:t>
            </w:r>
          </w:p>
        </w:tc>
        <w:tc>
          <w:tcPr>
            <w:tcW w:type="dxa" w:w="7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Estado de la cuota: Pendiente sin pagos, Pago parcial si queda saldo y Pagada si el saldo es cero. Se recalcula al registrar y al anular pagos.</w:t>
            </w:r>
          </w:p>
        </w:tc>
        <w:tc>
          <w:tcPr>
            <w:tcW w:type="dxa" w:w="1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RF-13, RF-14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RN-11</w:t>
            </w:r>
          </w:p>
        </w:tc>
        <w:tc>
          <w:tcPr>
            <w:tcW w:type="dxa" w:w="7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Los pagos simultáneos sobre una misma cuota se atienden uno tras otro (bloqueo de la fila), de modo que nunca se supera el monto de la cuota.</w:t>
            </w:r>
          </w:p>
        </w:tc>
        <w:tc>
          <w:tcPr>
            <w:tcW w:type="dxa" w:w="1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RN-12</w:t>
            </w:r>
          </w:p>
        </w:tc>
        <w:tc>
          <w:tcPr>
            <w:tcW w:type="dxa" w:w="7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anulación de un pago exige motivo, es una baja lógica y no se permite si el pago ya está asociado a un comprobante.</w:t>
            </w:r>
          </w:p>
        </w:tc>
        <w:tc>
          <w:tcPr>
            <w:tcW w:type="dxa" w:w="1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RF-14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RN-13</w:t>
            </w:r>
          </w:p>
        </w:tc>
        <w:tc>
          <w:tcPr>
            <w:tcW w:type="dxa" w:w="7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mora no se guarda: una cuota está en mora si su vencimiento es anterior a hoy y aún tiene saldo.</w:t>
            </w:r>
          </w:p>
        </w:tc>
        <w:tc>
          <w:tcPr>
            <w:tcW w:type="dxa" w:w="1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RF-15, RF-19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RN-14</w:t>
            </w:r>
          </w:p>
        </w:tc>
        <w:tc>
          <w:tcPr>
            <w:tcW w:type="dxa" w:w="7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rescisión solo aplica a contratos vigentes, con fecha efectiva entre el inicio y hoy, y con motivo obligatorio.</w:t>
            </w:r>
          </w:p>
        </w:tc>
        <w:tc>
          <w:tcPr>
            <w:tcW w:type="dxa" w:w="1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RN-15</w:t>
            </w:r>
          </w:p>
        </w:tc>
        <w:tc>
          <w:tcPr>
            <w:tcW w:type="dxa" w:w="73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 cobrado de un mes cuenta los pagos recibidos en ese mes, aunque correspondan a cuotas anteriores (el porcentaje de cobranza puede superar 100).</w:t>
            </w:r>
          </w:p>
        </w:tc>
        <w:tc>
          <w:tcPr>
            <w:tcW w:type="dxa" w:w="14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RF-18</w:t>
            </w:r>
          </w:p>
        </w:tc>
      </w:tr>
    </w:tbl>
    <w:p>
      <w:pPr>
        <w:spacing w:after="60"/>
      </w:pPr>
    </w:p>
    <w:p>
      <w:pPr>
        <w:pStyle w:val="Heading1"/>
      </w:pPr>
      <w:bookmarkStart w:name="_Toc8" w:id="8"/>
      <w:r>
        <w:rPr>
          <w:rFonts w:ascii="Calibri" w:cs="Calibri" w:eastAsia="Calibri" w:hAnsi="Calibri"/>
        </w:rPr>
        <w:t xml:space="preserve">4. Requisitos no funcionales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638"/>
      </w:tblGrid>
      <w:tr>
        <w:trPr>
          <w:tblHeader/>
        </w:trPr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Categoría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RNF-01</w:t>
            </w:r>
          </w:p>
        </w:tc>
        <w:tc>
          <w:tcPr>
            <w:tcW w:type="dxa" w:w="2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Seguridad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Claves con hash BCrypt, tokens JWT con expiración, todos los endpoints protegidos salvo login y salud. Cadena de conexión y clave JWT fuera del repositorio (user-secrets y variables de entorno).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RNF-02</w:t>
            </w:r>
          </w:p>
        </w:tc>
        <w:tc>
          <w:tcPr>
            <w:tcW w:type="dxa" w:w="2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Arquitectura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 capas con dependencias en un solo sentido (API, Negocio, Datos, Entidades, DTOs, Comun, Integraciones, Pruebas). La API no habla directo con Datos.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RNF-03</w:t>
            </w:r>
          </w:p>
        </w:tc>
        <w:tc>
          <w:tcPr>
            <w:tcW w:type="dxa" w:w="2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Integridad de datos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Baja lógica con filtro global de EF y auditoría automática de FechaCreacion y FechaModificacion.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RNF-04</w:t>
            </w:r>
          </w:p>
        </w:tc>
        <w:tc>
          <w:tcPr>
            <w:tcW w:type="dxa" w:w="2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Auditoría de operaciones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Autorizar contratos y registrar o anular pagos deja un evento en tabEVENTOS.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RNF-05</w:t>
            </w:r>
          </w:p>
        </w:tc>
        <w:tc>
          <w:tcPr>
            <w:tcW w:type="dxa" w:w="2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Respuestas de error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Errores de negocio como 400, no encontrado como 404, sin token 401 y sin permiso 403, mediante un manejador global (ProblemDetails). Nunca un 500 por una regla de negocio.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RNF-06</w:t>
            </w:r>
          </w:p>
        </w:tc>
        <w:tc>
          <w:tcPr>
            <w:tcW w:type="dxa" w:w="2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Pruebas reproducibles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Las pruebas de integración corren contra una BD separada (dbALQUILERES_TEST), nunca contra dbALQUILERES.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RNF-07</w:t>
            </w:r>
          </w:p>
        </w:tc>
        <w:tc>
          <w:tcPr>
            <w:tcW w:type="dxa" w:w="2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Despliegue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API sirve la web compilada (wwwroot) para instalar un solo sitio en IIS; las rutas /api inexistentes devuelven 404 y nunca la página.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RNF-08</w:t>
            </w:r>
          </w:p>
        </w:tc>
        <w:tc>
          <w:tcPr>
            <w:tcW w:type="dxa" w:w="2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Usabilidad</w:t>
            </w:r>
          </w:p>
        </w:tc>
        <w:tc>
          <w:tcPr>
            <w:tcW w:type="dxa" w:w="66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Interfaz responsiva (menú en cajón y tablas como tarjetas en el celular) y accesible, con confirmaciones y avisos en las operaciones críticas.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bookmarkStart w:name="_Toc9" w:id="9"/>
      <w:r>
        <w:rPr>
          <w:rFonts w:ascii="Calibri" w:cs="Calibri" w:eastAsia="Calibri" w:hAnsi="Calibri"/>
        </w:rPr>
        <w:t xml:space="preserve">5. Matriz de trazabilidad</w:t>
      </w:r>
      <w:bookmarkEnd w:id="9"/>
    </w:p>
    <w:p>
      <w:pPr>
        <w:spacing w:after="120"/>
      </w:pPr>
      <w:r>
        <w:rPr>
          <w:rFonts w:ascii="Calibri" w:cs="Calibri" w:eastAsia="Calibri" w:hAnsi="Calibri"/>
        </w:rPr>
        <w:t xml:space="preserve">Lectura: cada fila une un requisito con la fase y el commit donde se implementó, el backend (endpoint y clases), el frontend y las pruebas que lo verifican. Los números entre paréntesis indican cuántas pruebas hay en esa clase o grupo. Los nombres de pruebas se pueden buscar tal cual en la carpeta Backend/GestionContratos.Pruebas.</w:t>
      </w:r>
    </w:p>
    <w:p>
      <w:pPr>
        <w:pStyle w:val="Heading2"/>
      </w:pPr>
      <w:bookmarkStart w:name="_Toc10" w:id="10"/>
      <w:r>
        <w:rPr>
          <w:rFonts w:ascii="Calibri" w:cs="Calibri" w:eastAsia="Calibri" w:hAnsi="Calibri"/>
        </w:rPr>
        <w:t xml:space="preserve">5.1 Requisitos funcionales</w:t>
      </w:r>
      <w:bookmarkEnd w:id="10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3500"/>
        <w:gridCol w:w="2800"/>
        <w:gridCol w:w="6370"/>
      </w:tblGrid>
      <w:tr>
        <w:trPr>
          <w:tblHeader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 · commit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Frontend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Pruebas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RF-01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F2 · 0c6a73c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 /api/auth/login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 /api/auth/yo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AuthServicio, GeneradorToken, HasherClave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features/login, core/auth (service, guards, interceptor)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AuthIntegracionTests (8)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AutenticacionUnitariaTests (hash y token)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login.spec, auth.spec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RF-02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F2–F5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Roles (ADM, OPE)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[Authorize(Roles = ...)] en los controllers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adminGuard, menú según rol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Casos *_ComoOperador_Devuelve403 en Clientes, Empresas, Locales, Contratos y Pagos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auth.spec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RF-03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F3 · 4446ebf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 /api/catalogos y /{nombre}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CatalogosServicio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core/api/catalogos.api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CatalogosApiTests: TiposDocumento_IncluyeDniYRuc, Monedas_IncluyeSoles, CatalogoInexistente_Devuelve404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RF-04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F3 · 4446ebf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/api/clientes (GET, POST, PUT, DELETE)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ClientesServicio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features/clientes (lista, formulario)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ClientesApiTests (18)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clientes-lista.spec, validadores.spec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RF-05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F3 · 4446ebf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/api/empresas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EmpresasServicio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features/empresas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EmpresasApiTests (10)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RF-06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F3 · 4446ebf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/api/locales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LocalesServicio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features/locales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LocalesApiTests (15)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RF-07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F4 · 5d279ac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 /api/contratos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ContratosServicio.Crear, tabSECUENCIA (SecuenciaGenerador)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features/contratos/contrato-form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ContratosApiTests: Crear_ComoOperador_QuedaEnBorradorConCodigoGenerado, Crear_DosContratos_RecibenCodigosDistintosYCrecientes, Crear_* de validación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contrato-form.spec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RF-08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F4 · 5d279ac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PUT y DELETE /api/contratos/{id}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ContratosServicio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contrato-form, contrato-detalle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ContratosApiTests: Actualizar_Borrador_ModificaLosDatos, Actualizar_ContratoVigente_Devuelve400, Desactivar_*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RF-09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F4 · 5d279ac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 /api/contratos/{id}/autorizar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ContratosServicio.Autorizar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contrato-detalle (botón Autorizar)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ContratosApiTests: Autorizar_ComoAdmin_PasaAVigenteGeneraElCronogramaYOcupaElLocal, Autorizar_RegistradoPorElMismoUsuario_Devuelve400, Autorizar_RegistraUnEventoDeAuditoria, Autorizar_ContratoConPlazoTerminado_Devuelve400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RF-10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F4 · 5d279ac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 /api/contratos/{id}/cronograma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GeneradorCronograma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vista vwCRONOGRAMA_SALDOS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contrato-detalle (tabla de cuotas)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GeneradorCronogramaTests (10)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ContratosApiTests: Cronograma_DiaDePago31_UsaElUltimoDiaDeLosMesesCortos, ContratosDeDemostracion_TienenCronogramaConSaldos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RF-11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F4 · 5d279ac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 /api/contratos/{id}/rescindir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ContratosServicio.Rescindir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contratos/rescindir-dialogo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ContratosApiTests: Rescindir_ContratoVigente_CierraElContratoAnulaCuotasFuturasYLiberaElLocal, Rescindir_SinMotivo_Devuelve400, Rescindir_ConFechaFuturaOAnteriorAlInicio_Devuelve400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RF-12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F4 · 5d279ac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 /api/contratos/actualizar-estados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ActualizadorEstadosContratos (BackgroundService)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contratos-lista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ContratosApiTests: ActualizarEstados_MarcaVencidoElContratoCuyoPlazoTermino_YLiberaElLocal, ActualizarEstados_ComoOperador_Devuelve403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RF-13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F5 · 4ca09e6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 /api/pagos, GET /api/pagos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PagosServicio.Registrar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features/pagos (pagos-lista, pago-dialogo)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PagosApiTests: Registrar_PagoTotal_*, Registrar_PagoParcial_*, Registrar_MontoMayorAlSaldo_*, Registrar_CincoPagosSimultaneosDelSaldoCompleto_SoloUnoSeAcepta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EstadoCuotaTests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pago-dialogo.spec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RF-14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F5 · 4ca09e6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 /api/pagos/{id}/anular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PagosServicio.Anular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pagos/anular-pago-dialogo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PagosApiTests: Anular_PagoTotal_DevuelveLaCuotaAPendiente, Anular_SinMotivo_Devuelve400, Anular_ComoOperador_Devuelve403, AnularYVolverAPagar_PermitePagarElSaldoCompleto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anular-pago-dialogo.spec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RF-15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F5 · 4ca09e6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 /api/morosidad y /{idCliente}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MorosidadServicio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vista vwMOROSIDAD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features/deudas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MorosidadApiTests (10)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RF-16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F6 · 083a775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 /api/analiticas/resumen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AnaliticasServicio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features/panel, shared/kpi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AnaliticasApiTests: Resumen_ReuneLosIndicadoresDeLaEmpresa, Resumen_SinFiltro_ConsolidaTodasLasEmpresas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RF-17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F6 · 083a775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 /api/analiticas/ocupacion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vwOCUPACION_LOCALES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panel, shared/graficos/barra-apilada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AnaliticasApiTests: Ocupacion_* (3)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RF-18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F6 · 083a775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 /api/analiticas/ingresos-mensuales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vwINGRESOS_MENSUALES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panel, shared/graficos/columnas-ingresos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AnaliticasApiTests: IngresosMensuales_* (5)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escala.spec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RF-19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F6 · 083a775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 /api/analiticas/morosidad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panel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AnaliticasApiTests: Morosidad_AgrupaLaDeudaVencidaPorAntiguedad, Morosidad_ClienteQuePagoTodoLoVencido_DevuelveCeros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RF-20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F6 · 083a775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 /api/analiticas/contratos-por-vencer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vwCONTRATOS_POR_VENCER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panel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AnaliticasApiTests: ContratosPorVencer_* (3)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RF-21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F6 · 083a775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 /api/analiticas/top-locales y top-clientes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panel, shared/graficos/barras-horizontales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AnaliticasApiTests: Tops_* (5)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RF-22</w:t>
            </w:r>
          </w:p>
        </w:tc>
        <w:tc>
          <w:tcPr>
            <w:tcW w:type="dxa" w:w="11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F7 · 4e6043b</w:t>
            </w:r>
          </w:p>
        </w:tc>
        <w:tc>
          <w:tcPr>
            <w:tcW w:type="dxa" w:w="35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 (consume la API)</w:t>
            </w:r>
          </w:p>
        </w:tc>
        <w:tc>
          <w:tcPr>
            <w:tcW w:type="dxa" w:w="2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Angular 21: app.routes, shell, shared/*, core/*</w:t>
            </w:r>
          </w:p>
        </w:tc>
        <w:tc>
          <w:tcPr>
            <w:tcW w:type="dxa" w:w="63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componentes.spec, formato.spec, fechas.spec, api.utils.spec, servicios-ui.spec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Manual_Pruebas/03_Lista_de_Pruebas.md (pruebas manuales)</w:t>
            </w:r>
          </w:p>
        </w:tc>
      </w:tr>
    </w:tbl>
    <w:p>
      <w:r>
        <w:br w:type="page"/>
      </w:r>
    </w:p>
    <w:p>
      <w:pPr>
        <w:pStyle w:val="Heading2"/>
      </w:pPr>
      <w:bookmarkStart w:name="_Toc11" w:id="11"/>
      <w:r>
        <w:rPr>
          <w:rFonts w:ascii="Calibri" w:cs="Calibri" w:eastAsia="Calibri" w:hAnsi="Calibri"/>
        </w:rPr>
        <w:t xml:space="preserve">5.2 Reglas de negocio</w:t>
      </w:r>
      <w:bookmarkEnd w:id="11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9870"/>
      </w:tblGrid>
      <w:tr>
        <w:trPr>
          <w:tblHeader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Dónde se aplica</w:t>
            </w:r>
          </w:p>
        </w:tc>
        <w:tc>
          <w:tcPr>
            <w:tcW w:type="dxa" w:w="98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Pruebas que la verifican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RN-01</w:t>
            </w:r>
          </w:p>
        </w:tc>
        <w:tc>
          <w:tcPr>
            <w:tcW w:type="dxa" w:w="3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ClientesServicio, EmpresasServicio, LocalesServicio</w:t>
            </w:r>
          </w:p>
        </w:tc>
        <w:tc>
          <w:tcPr>
            <w:tcW w:type="dxa" w:w="98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Crear_CodigoDuplicado_Devuelve400 (Clientes, Locales); Crear_ConCodigoDeClienteDadoDeBaja_Devuelve400EnVezDeError500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RN-02</w:t>
            </w:r>
          </w:p>
        </w:tc>
        <w:tc>
          <w:tcPr>
            <w:tcW w:type="dxa" w:w="3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ValidadorDocumento, EmpresasServicio</w:t>
            </w:r>
          </w:p>
        </w:tc>
        <w:tc>
          <w:tcPr>
            <w:tcW w:type="dxa" w:w="98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ValidadorDocumentoTests (3); Crear_DniConFormatoInvalido_Devuelve400; Crear_RucInvalido_Devuelve400; Crear_DocumentoDuplicado_Devuelve400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RN-03</w:t>
            </w:r>
          </w:p>
        </w:tc>
        <w:tc>
          <w:tcPr>
            <w:tcW w:type="dxa" w:w="3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Servicios de Clientes, Empresas y Locales</w:t>
            </w:r>
          </w:p>
        </w:tc>
        <w:tc>
          <w:tcPr>
            <w:tcW w:type="dxa" w:w="98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Desactivar_ClienteConContratoVigente_Devuelve400; Desactivar_EmpresaConLocales_Devuelve400; Desactivar_LocalOcupado_Devuelve400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RN-04</w:t>
            </w:r>
          </w:p>
        </w:tc>
        <w:tc>
          <w:tcPr>
            <w:tcW w:type="dxa" w:w="3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LocalesServicio</w:t>
            </w:r>
          </w:p>
        </w:tc>
        <w:tc>
          <w:tcPr>
            <w:tcW w:type="dxa" w:w="98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Crear_ComoOcupado_Devuelve400; Actualizar_CambiarEstadoDeLocalOcupado_Devuelve400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RN-05</w:t>
            </w:r>
          </w:p>
        </w:tc>
        <w:tc>
          <w:tcPr>
            <w:tcW w:type="dxa" w:w="3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ContratosServicio (validación)</w:t>
            </w:r>
          </w:p>
        </w:tc>
        <w:tc>
          <w:tcPr>
            <w:tcW w:type="dxa" w:w="98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Crear_FechaFinNoPosteriorAInicio_Devuelve400; Crear_DuracionMayorA120Meses_Devuelve400; Crear_MontoDeAlquilerCero_Devuelve400; Crear_DiaDePagoFueraDeRango_Devuelve400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RN-06</w:t>
            </w:r>
          </w:p>
        </w:tc>
        <w:tc>
          <w:tcPr>
            <w:tcW w:type="dxa" w:w="3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ContratosServicio (Crear y Autorizar)</w:t>
            </w:r>
          </w:p>
        </w:tc>
        <w:tc>
          <w:tcPr>
            <w:tcW w:type="dxa" w:w="98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Crear_FechasQueSeCruzanConOtroContratoDelLocal_Devuelve400; Crear_ContratoContiguoSinCruce_Devuelve201; Crear_LocalEnMantenimiento_Devuelve400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RN-07</w:t>
            </w:r>
          </w:p>
        </w:tc>
        <w:tc>
          <w:tcPr>
            <w:tcW w:type="dxa" w:w="3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ContratosServicio.Autorizar</w:t>
            </w:r>
          </w:p>
        </w:tc>
        <w:tc>
          <w:tcPr>
            <w:tcW w:type="dxa" w:w="98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Autorizar_RegistradoPorElMismoUsuario_Devuelve400; Autorizar_ContratoYaVigente_Devuelve400; Autorizar_ContratoConPlazoTerminado_Devuelve400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RN-08</w:t>
            </w:r>
          </w:p>
        </w:tc>
        <w:tc>
          <w:tcPr>
            <w:tcW w:type="dxa" w:w="3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GeneradorCronograma</w:t>
            </w:r>
          </w:p>
        </w:tc>
        <w:tc>
          <w:tcPr>
            <w:tcW w:type="dxa" w:w="98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PrimeraCuota_SeCobraCompletaYVenceElDiaDeInicioSiElDiaDePagoYaPaso; VigenciaQueNoCompletaElUltimoMes_CobraEseMesCompleto; NingunaCuotaVenceDespuesDelFinDelContrato; DiaDePago31_UsaElUltimoDiaDeMesesCortos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RN-09</w:t>
            </w:r>
          </w:p>
        </w:tc>
        <w:tc>
          <w:tcPr>
            <w:tcW w:type="dxa" w:w="3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PagosServicio.Registrar</w:t>
            </w:r>
          </w:p>
        </w:tc>
        <w:tc>
          <w:tcPr>
            <w:tcW w:type="dxa" w:w="98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Registrar_MontoMayorAlSaldo_Devuelve400YNoCambiaLaCuota; Registrar_FechaFutura_Devuelve400; Registrar_FechaAnteriorAlInicioDelContrato_Devuelve400; Registrar_CuotaYaPagada_Devuelve400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RN-10</w:t>
            </w:r>
          </w:p>
        </w:tc>
        <w:tc>
          <w:tcPr>
            <w:tcW w:type="dxa" w:w="3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EstadoCuota (cálculo)</w:t>
            </w:r>
          </w:p>
        </w:tc>
        <w:tc>
          <w:tcPr>
            <w:tcW w:type="dxa" w:w="98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EstadoCuotaTests; Registrar_PagoParcial_DejaLaCuotaEnPagoParcialYLuegoSeCompleta; Anular_UnoDeDosPagos_DejaLaCuotaEnPagoParcial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RN-11</w:t>
            </w:r>
          </w:p>
        </w:tc>
        <w:tc>
          <w:tcPr>
            <w:tcW w:type="dxa" w:w="3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PagosServicio (transacción con UPDLOCK)</w:t>
            </w:r>
          </w:p>
        </w:tc>
        <w:tc>
          <w:tcPr>
            <w:tcW w:type="dxa" w:w="98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Registrar_CincoPagosSimultaneosDelSaldoCompleto_SoloUnoSeAcepta; Registrar_PagosSimultaneosParciales_NuncaSuperanElMonto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RN-12</w:t>
            </w:r>
          </w:p>
        </w:tc>
        <w:tc>
          <w:tcPr>
            <w:tcW w:type="dxa" w:w="3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PagosServicio.Anular</w:t>
            </w:r>
          </w:p>
        </w:tc>
        <w:tc>
          <w:tcPr>
            <w:tcW w:type="dxa" w:w="98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Anular_SinMotivo_Devuelve400; Anular_DosVeces_LaSegundaDevuelve404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RN-13</w:t>
            </w:r>
          </w:p>
        </w:tc>
        <w:tc>
          <w:tcPr>
            <w:tcW w:type="dxa" w:w="3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MorosidadServicio, vwMOROSIDAD</w:t>
            </w:r>
          </w:p>
        </w:tc>
        <w:tc>
          <w:tcPr>
            <w:tcW w:type="dxa" w:w="98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Cronograma_MarcaLosDiasDeAtrasoDeLasCuotasVencidasSinPagar; PagoParcial_ReduceLaDeudaPeroLaCuotaSigueVencida; AnularUnPago_VuelveALaMorosidad; ContratoAlDia_NoApareceComoMoroso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RN-14</w:t>
            </w:r>
          </w:p>
        </w:tc>
        <w:tc>
          <w:tcPr>
            <w:tcW w:type="dxa" w:w="3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ContratosServicio.Rescindir</w:t>
            </w:r>
          </w:p>
        </w:tc>
        <w:tc>
          <w:tcPr>
            <w:tcW w:type="dxa" w:w="98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Rescindir_ContratoEnBorrador_Devuelve400; Rescindir_ConFechaFuturaOAnteriorAlInicio_Devuelve400; Rescindir_SinMotivo_Devuelve400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RN-15</w:t>
            </w:r>
          </w:p>
        </w:tc>
        <w:tc>
          <w:tcPr>
            <w:tcW w:type="dxa" w:w="38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AnaliticasServicio</w:t>
            </w:r>
          </w:p>
        </w:tc>
        <w:tc>
          <w:tcPr>
            <w:tcW w:type="dxa" w:w="98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IngresosMensuales_ElPagoCuentaEnElMesEnQueSeRecibeNoEnElDeLaCuota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12" w:id="12"/>
      <w:r>
        <w:rPr>
          <w:rFonts w:ascii="Calibri" w:cs="Calibri" w:eastAsia="Calibri" w:hAnsi="Calibri"/>
        </w:rPr>
        <w:t xml:space="preserve">5.3 Requisitos no funcionales</w:t>
      </w:r>
      <w:bookmarkEnd w:id="12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9570"/>
      </w:tblGrid>
      <w:tr>
        <w:trPr>
          <w:tblHeader/>
        </w:trPr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Dónde se aplica</w:t>
            </w:r>
          </w:p>
        </w:tc>
        <w:tc>
          <w:tcPr>
            <w:tcW w:type="dxa" w:w="95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RNF-01</w:t>
            </w:r>
          </w:p>
        </w:tc>
        <w:tc>
          <w:tcPr>
            <w:tcW w:type="dxa" w:w="4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HasherClave, GeneradorToken, ConfiguracionApi, docs/Configuracion.md</w:t>
            </w:r>
          </w:p>
        </w:tc>
        <w:tc>
          <w:tcPr>
            <w:tcW w:type="dxa" w:w="95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Hasher_DosHashesDeLaMismaClaveSonDistintos; Login_ClaveIncorrecta_Devuelve401; Yo_ConTokenManipulado_Devuelve401; SinToken_Devuelve401 (varios controllers)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RNF-02</w:t>
            </w:r>
          </w:p>
        </w:tc>
        <w:tc>
          <w:tcPr>
            <w:tcW w:type="dxa" w:w="4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Estructura de la solución; docs/Arquitectura.md §1</w:t>
            </w:r>
          </w:p>
        </w:tc>
        <w:tc>
          <w:tcPr>
            <w:tcW w:type="dxa" w:w="95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Revisión de referencias entre proyectos (.csproj); no tiene prueba automática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RNF-03</w:t>
            </w:r>
          </w:p>
        </w:tc>
        <w:tc>
          <w:tcPr>
            <w:tcW w:type="dxa" w:w="4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GestionContratosDbContext, Configuraciones/*</w:t>
            </w:r>
          </w:p>
        </w:tc>
        <w:tc>
          <w:tcPr>
            <w:tcW w:type="dxa" w:w="95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DatosIntegracionTests: Agregar_AsignaFechaCreacionAutomaticamente; Actualizar_AsignaFechaModificacionYConservaFechaCreacion; Desactivar_OcultaElRegistroEnLasConsultas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RNF-04</w:t>
            </w:r>
          </w:p>
        </w:tc>
        <w:tc>
          <w:tcPr>
            <w:tcW w:type="dxa" w:w="4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ContratosServicio.Autorizar, PagosServicio</w:t>
            </w:r>
          </w:p>
        </w:tc>
        <w:tc>
          <w:tcPr>
            <w:tcW w:type="dxa" w:w="95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Autorizar_RegistraUnEventoDeAuditoria; Registrar_DejaUnEventoDeAuditoria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RNF-05</w:t>
            </w:r>
          </w:p>
        </w:tc>
        <w:tc>
          <w:tcPr>
            <w:tcW w:type="dxa" w:w="4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ManejadorExcepciones, ExcepcionNegocio</w:t>
            </w:r>
          </w:p>
        </w:tc>
        <w:tc>
          <w:tcPr>
            <w:tcW w:type="dxa" w:w="95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Todas las pruebas *_Devuelve400 / 404 / 403 de las clases de integración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RNF-06</w:t>
            </w:r>
          </w:p>
        </w:tc>
        <w:tc>
          <w:tcPr>
            <w:tcW w:type="dxa" w:w="4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ApiFactory, PruebasApiBase</w:t>
            </w:r>
          </w:p>
        </w:tc>
        <w:tc>
          <w:tcPr>
            <w:tcW w:type="dxa" w:w="95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Salud_ConectaConLaBaseDeDatos; toda la suite de integración se ejecuta sobre dbALQUILERES_TEST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RNF-07</w:t>
            </w:r>
          </w:p>
        </w:tc>
        <w:tc>
          <w:tcPr>
            <w:tcW w:type="dxa" w:w="4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Program.cs (archivos estáticos y fallback)</w:t>
            </w:r>
          </w:p>
        </w:tc>
        <w:tc>
          <w:tcPr>
            <w:tcW w:type="dxa" w:w="95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HospedajeWebTests (5 pruebas: raíz sin caché, recarga de rutas, archivos estáticos, /api inexistente, API junto a la web)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RNF-08</w:t>
            </w:r>
          </w:p>
        </w:tc>
        <w:tc>
          <w:tcPr>
            <w:tcW w:type="dxa" w:w="40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Frontend: shared/*, layout/shell, styles.scss</w:t>
            </w:r>
          </w:p>
        </w:tc>
        <w:tc>
          <w:tcPr>
            <w:tcW w:type="dxa" w:w="957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Pruebas manuales (Manual_Pruebas/03_Lista_de_Pruebas.md); componentes.spec</w:t>
            </w:r>
          </w:p>
        </w:tc>
      </w:tr>
    </w:tbl>
    <w:p>
      <w:pPr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bookmarkStart w:name="_Toc13" w:id="13"/>
      <w:r>
        <w:rPr>
          <w:rFonts w:ascii="Calibri" w:cs="Calibri" w:eastAsia="Calibri" w:hAnsi="Calibri"/>
        </w:rPr>
        <w:t xml:space="preserve">6. Cobertura de la trazabilidad</w:t>
      </w:r>
      <w:bookmarkEnd w:id="13"/>
    </w:p>
    <w:p>
      <w:pPr>
        <w:spacing w:after="120"/>
      </w:pPr>
      <w:r>
        <w:rPr>
          <w:rFonts w:ascii="Calibri" w:cs="Calibri" w:eastAsia="Calibri" w:hAnsi="Calibri"/>
        </w:rPr>
        <w:t xml:space="preserve">Resultado de cruzar los requisitos con el código y las pruebas: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Requisitos funcionales especificados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 (RF-01 a RF-22)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Reglas de negocio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 (RN-01 a RN-15), todas con al menos una prueba automática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Requisitos no funcionales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 (RNF-01 a RNF-08); 6 con prueba automática y 2 verificados por revisión o prueba manual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Pruebas del backend (xUnit)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176 métodos de prueba (unitarias e integración), sin contar los casos de las pruebas parametrizadas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Pruebas del frontend (Vitest)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154 pruebas en 14 archivos spec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Requisitos sin prueba automática de interfaz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RF-22 y RNF-08 se cubren con la lista de pruebas manuales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</w:rPr>
        <w:t xml:space="preserve">Nota: los conteos se obtuvieron del código del repositorio al redactar el documento (métodos con [Fact] o [Theory] en Backend/GestionContratos.Pruebas). Conviene actualizarlos si se agregan pruebas.</w:t>
      </w:r>
    </w:p>
    <w:p>
      <w:pPr>
        <w:pStyle w:val="Heading1"/>
      </w:pPr>
      <w:bookmarkStart w:name="_Toc14" w:id="14"/>
      <w:r>
        <w:rPr>
          <w:rFonts w:ascii="Calibri" w:cs="Calibri" w:eastAsia="Calibri" w:hAnsi="Calibri"/>
        </w:rPr>
        <w:t xml:space="preserve">7. Fuera del MVP y brechas conocidas</w:t>
      </w:r>
      <w:bookmarkEnd w:id="14"/>
    </w:p>
    <w:p>
      <w:pPr>
        <w:spacing w:after="120"/>
      </w:pPr>
      <w:r>
        <w:rPr>
          <w:rFonts w:ascii="Calibri" w:cs="Calibri" w:eastAsia="Calibri" w:hAnsi="Calibri"/>
        </w:rPr>
        <w:t xml:space="preserve">Estos puntos no están implementados y por eso no tienen requisito funcional asociado. Quedan registrados para trabajarlos en una segunda etapa.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2A0A5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Situación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Comprobantes y facturación electrónica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Las tablas existen en la BD; no hay API ni pantalla. El proyecto Integraciones está vacío.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Adendas y cambio de día de pago a mitad de contrato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Tabla existente; el cambio solo afectaría a las cuotas pendientes. No implementado.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Garantías, documentos adjuntos e incidencias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Tablas existentes, sin funcionalidad.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Pago que cubra varias cuotas a la vez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Hoy se registra un pago por cuota.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Gestión de roles y permisos, notificaciones por correo y reportes exportables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Fuera del MVP, definido así en docs/Arquitectura.md §3.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Pruebas automáticas de arquitectura (RNF-02) y de usabilidad (RNF-08)</w:t>
            </w:r>
          </w:p>
        </w:tc>
        <w:tc>
          <w:tcPr>
            <w:tcW w:type="dxa" w:w="5438"/>
            <w:tcBorders>
              <w:top w:val="single" w:color="C9CEE3" w:sz="4"/>
              <w:left w:val="single" w:color="C9CEE3" w:sz="4"/>
              <w:bottom w:val="single" w:color="C9CEE3" w:sz="4"/>
              <w:right w:val="single" w:color="C9CEE3" w:sz="4"/>
            </w:tcBorders>
            <w:shd w:fill="F5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 verifican por revisión y con la lista de pruebas manuales.</w:t>
            </w:r>
          </w:p>
        </w:tc>
      </w:tr>
    </w:tbl>
    <w:p>
      <w:pPr>
        <w:spacing w:after="60"/>
      </w:pPr>
    </w:p>
    <w:p>
      <w:pPr>
        <w:pStyle w:val="Heading1"/>
      </w:pPr>
      <w:bookmarkStart w:name="_Toc15" w:id="15"/>
      <w:r>
        <w:rPr>
          <w:rFonts w:ascii="Calibri" w:cs="Calibri" w:eastAsia="Calibri" w:hAnsi="Calibri"/>
        </w:rPr>
        <w:t xml:space="preserve">8. Cómo usar este documento</w:t>
      </w:r>
      <w:bookmarkEnd w:id="15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auditar un requisito: buscar su ID en la sección 5, abrir el commit indicado con git show y ejecutar las pruebas citadas con dotnet test --filter "FullyQualifiedName~NombreDeLaPrueba".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agregar una funcionalidad nueva: añadir primero el RF o RN con su criterio de aceptación, escribir la prueba y recién implementar; luego completar la fila de la matriz.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una demostración: los requisitos RF-07, RF-09, RF-13 y RF-16 corresponden al guion de demo de docs/Arquitectura.md (registrar contrato, autorizar, pagar y ver el panel).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GestionContratos · Especificación y trazabilidad · Página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</w:r>
    <w:r>
      <w:rPr>
        <w:rFonts w:ascii="Calibri" w:cs="Calibri" w:eastAsia="Calibri" w:hAnsi="Calibri"/>
        <w:color w:val="777777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777777"/>
        <w:sz w:val="16"/>
        <w:szCs w:val="16"/>
      </w:rPr>
      <w:fldChar w:fldCharType="separate"/>
    </w:r>
    <w:r>
      <w:rPr>
        <w:rFonts w:ascii="Calibri" w:cs="Calibri" w:eastAsia="Calibri" w:hAnsi="Calibri"/>
        <w:color w:val="777777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GestionContratos · Especificación y trazabilidad · Página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</w:r>
    <w:r>
      <w:rPr>
        <w:rFonts w:ascii="Calibri" w:cs="Calibri" w:eastAsia="Calibri" w:hAnsi="Calibri"/>
        <w:color w:val="777777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777777"/>
        <w:sz w:val="16"/>
        <w:szCs w:val="16"/>
      </w:rPr>
      <w:fldChar w:fldCharType="separate"/>
    </w:r>
    <w:r>
      <w:rPr>
        <w:rFonts w:ascii="Calibri" w:cs="Calibri" w:eastAsia="Calibri" w:hAnsi="Calibri"/>
        <w:color w:val="777777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GestionContratos · Especificación y trazabilidad · Página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</w:r>
    <w:r>
      <w:rPr>
        <w:rFonts w:ascii="Calibri" w:cs="Calibri" w:eastAsia="Calibri" w:hAnsi="Calibri"/>
        <w:color w:val="777777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777777"/>
        <w:sz w:val="16"/>
        <w:szCs w:val="16"/>
      </w:rPr>
      <w:fldChar w:fldCharType="separate"/>
    </w:r>
    <w:r>
      <w:rPr>
        <w:rFonts w:ascii="Calibri" w:cs="Calibri" w:eastAsia="Calibri" w:hAnsi="Calibri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2A0A5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6FEB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y matriz de trazabilidad - GestionContratos</dc:title>
  <dc:creator>Yuri Grandez</dc:creator>
  <cp:lastModifiedBy>Un-named</cp:lastModifiedBy>
  <cp:revision>1</cp:revision>
  <dcterms:created xsi:type="dcterms:W3CDTF">2026-10-25T02:15:10.490Z</dcterms:created>
  <dcterms:modified xsi:type="dcterms:W3CDTF">2026-10-25T02:15:10.491Z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