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RetailCo Financial Analysis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0"/>
              <w:left w:type="dxa" w:w="300"/>
              <w:bottom w:type="dxa" w:w="200"/>
              <w:right w:type="dxa" w:w="300"/>
            </w:tcMar>
          </w:tcPr>
          <w:p>
            <w:pPr>
              <w:jc w:val="center"/>
            </w:pPr>
            <w:r>
              <w:rPr>
                <w:rFonts w:ascii="Arial" w:cs="Arial" w:eastAsia="Arial" w:hAnsi="Arial"/>
                <w:color w:val="4B5563"/>
                <w:sz w:val="24"/>
                <w:szCs w:val="24"/>
              </w:rPr>
              <w:t xml:space="preserve">Детальний опис проекту  /  Projektbeschreibung  /  Project Description</w:t>
            </w:r>
          </w:p>
          <w:p>
            <w:pPr>
              <w:spacing w:before="80"/>
              <w:jc w:val="center"/>
            </w:pPr>
            <w:r>
              <w:rPr>
                <w:rFonts w:ascii="Arial" w:cs="Arial" w:eastAsia="Arial" w:hAnsi="Arial"/>
                <w:b/>
                <w:bCs/>
                <w:color w:val="0F766E"/>
                <w:sz w:val="20"/>
                <w:szCs w:val="20"/>
              </w:rPr>
              <w:t xml:space="preserve">УКРАЇНСЬКА  ·  DEUTSCH  ·  ENGLISH</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jc w:val="center"/>
            </w:pPr>
            <w:r>
              <w:rPr>
                <w:rFonts w:ascii="Arial" w:cs="Arial" w:eastAsia="Arial" w:hAnsi="Arial"/>
                <w:color w:val="4B5563"/>
                <w:sz w:val="18"/>
                <w:szCs w:val="18"/>
              </w:rPr>
              <w:t xml:space="preserve">Автор / Autor / Author</w:t>
            </w:r>
          </w:p>
          <w:p>
            <w:pPr>
              <w:jc w:val="center"/>
            </w:pPr>
            <w:r>
              <w:rPr>
                <w:rFonts w:ascii="Arial" w:cs="Arial" w:eastAsia="Arial" w:hAnsi="Arial"/>
                <w:b/>
                <w:bCs/>
                <w:color w:val="1D3557"/>
                <w:sz w:val="22"/>
                <w:szCs w:val="22"/>
              </w:rPr>
              <w:t xml:space="preserve">Yurii Oleshchuk</w:t>
            </w:r>
          </w:p>
        </w:tc>
        <w:tc>
          <w:tcPr>
            <w:tcW w:type="dxa" w:w="312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jc w:val="center"/>
            </w:pPr>
            <w:r>
              <w:rPr>
                <w:rFonts w:ascii="Arial" w:cs="Arial" w:eastAsia="Arial" w:hAnsi="Arial"/>
                <w:color w:val="4B5563"/>
                <w:sz w:val="18"/>
                <w:szCs w:val="18"/>
              </w:rPr>
              <w:t xml:space="preserve">Дані / Datensatz / Dataset</w:t>
            </w:r>
          </w:p>
          <w:p>
            <w:pPr>
              <w:jc w:val="center"/>
            </w:pPr>
            <w:r>
              <w:rPr>
                <w:rFonts w:ascii="Arial" w:cs="Arial" w:eastAsia="Arial" w:hAnsi="Arial"/>
                <w:b/>
                <w:bCs/>
                <w:color w:val="1D3557"/>
                <w:sz w:val="22"/>
                <w:szCs w:val="22"/>
              </w:rPr>
              <w:t xml:space="preserve">Bike Sales in Europe</w:t>
            </w:r>
          </w:p>
        </w:tc>
        <w:tc>
          <w:tcPr>
            <w:tcW w:type="dxa" w:w="312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jc w:val="center"/>
            </w:pPr>
            <w:r>
              <w:rPr>
                <w:rFonts w:ascii="Arial" w:cs="Arial" w:eastAsia="Arial" w:hAnsi="Arial"/>
                <w:color w:val="4B5563"/>
                <w:sz w:val="18"/>
                <w:szCs w:val="18"/>
              </w:rPr>
              <w:t xml:space="preserve">Рік / Jahr / Year</w:t>
            </w:r>
          </w:p>
          <w:p>
            <w:pPr>
              <w:jc w:val="center"/>
            </w:pPr>
            <w:r>
              <w:rPr>
                <w:rFonts w:ascii="Arial" w:cs="Arial" w:eastAsia="Arial" w:hAnsi="Arial"/>
                <w:b/>
                <w:bCs/>
                <w:color w:val="1D3557"/>
                <w:sz w:val="22"/>
                <w:szCs w:val="22"/>
              </w:rPr>
              <w:t xml:space="preserve">2026</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4F8C" w:val="clear"/>
            <w:tcMar>
              <w:top w:type="dxa" w:w="140"/>
              <w:left w:type="dxa" w:w="240"/>
              <w:bottom w:type="dxa" w:w="140"/>
              <w:right w:type="dxa" w:w="240"/>
            </w:tcMar>
          </w:tcPr>
          <w:p>
            <w:r>
              <w:rPr>
                <w:rFonts w:ascii="Arial" w:cs="Arial" w:eastAsia="Arial" w:hAnsi="Arial"/>
                <w:b/>
                <w:bCs/>
                <w:color w:val="FFFFFF"/>
                <w:sz w:val="30"/>
                <w:szCs w:val="30"/>
              </w:rPr>
              <w:t xml:space="preserve">🇺🇦  УКРАЇНСЬКА ВЕРСІЯ</w:t>
            </w:r>
          </w:p>
        </w:tc>
      </w:tr>
    </w:tbl>
    <w:p>
      <w:pPr>
        <w:spacing w:after="40" w:before="40"/>
      </w:pPr>
      <w:r>
        <w:t xml:space="preserve"/>
      </w:r>
    </w:p>
    <w:p>
      <w:pPr>
        <w:pStyle w:val="Heading1"/>
        <w:spacing w:after="160" w:before="320"/>
      </w:pPr>
      <w:r>
        <w:rPr>
          <w:rFonts w:ascii="Arial" w:cs="Arial" w:eastAsia="Arial" w:hAnsi="Arial"/>
          <w:b/>
          <w:bCs/>
          <w:color w:val="1D3557"/>
          <w:sz w:val="36"/>
          <w:szCs w:val="36"/>
        </w:rPr>
        <w:t xml:space="preserve">1. Що таке цей проект?</w:t>
      </w:r>
    </w:p>
    <w:p>
      <w:pPr>
        <w:spacing w:after="60" w:before="60"/>
      </w:pPr>
      <w:r>
        <w:rPr>
          <w:rFonts w:ascii="Arial" w:cs="Arial" w:eastAsia="Arial" w:hAnsi="Arial"/>
          <w:color w:val="111827"/>
          <w:sz w:val="22"/>
          <w:szCs w:val="22"/>
        </w:rPr>
        <w:t xml:space="preserve">RetailCo Financial Analysis — це портфоліо-проект, який імітує повний фінансовий процес реального підприємства роздрібної торгівлі. В основі — набір даних Bike Sales in Europe (Kaggle) з 113 036 транзакцій за 2011–2016 роки по 6 країнах: Австралія, Канада, Франція, Німеччина, Велика Британія, США.</w:t>
      </w:r>
    </w:p>
    <w:p>
      <w:pPr>
        <w:spacing w:after="40" w:before="40"/>
      </w:pPr>
      <w:r>
        <w:t xml:space="preserve"/>
      </w:r>
    </w:p>
    <w:p>
      <w:pPr>
        <w:spacing w:after="60" w:before="60"/>
      </w:pPr>
      <w:r>
        <w:rPr>
          <w:rFonts w:ascii="Arial" w:cs="Arial" w:eastAsia="Arial" w:hAnsi="Arial"/>
          <w:color w:val="111827"/>
          <w:sz w:val="22"/>
          <w:szCs w:val="22"/>
        </w:rPr>
        <w:t xml:space="preserve">Проект охоплює 4 модулі — від підготовки сирих даних до інтерактивного Power BI дашборду — і демонструє навички, необхідні для позицій Accounting та Controlling у великій торговій компанії.</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Ключові показники проекту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tcPr>
          <w:p>
            <w:r>
              <w:rPr>
                <w:rFonts w:ascii="Arial" w:cs="Arial" w:eastAsia="Arial" w:hAnsi="Arial"/>
                <w:b/>
                <w:bCs/>
                <w:color w:val="FFFFFF"/>
                <w:sz w:val="20"/>
                <w:szCs w:val="20"/>
              </w:rPr>
              <w:t xml:space="preserve">Показник</w:t>
            </w:r>
          </w:p>
        </w:tc>
        <w:tc>
          <w:tcPr>
            <w:tcW w:type="dxa" w:w="234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tcPr>
          <w:p>
            <w:r>
              <w:rPr>
                <w:rFonts w:ascii="Arial" w:cs="Arial" w:eastAsia="Arial" w:hAnsi="Arial"/>
                <w:b/>
                <w:bCs/>
                <w:color w:val="FFFFFF"/>
                <w:sz w:val="20"/>
                <w:szCs w:val="20"/>
              </w:rPr>
              <w:t xml:space="preserve">Значення</w:t>
            </w:r>
          </w:p>
        </w:tc>
        <w:tc>
          <w:tcPr>
            <w:tcW w:type="dxa" w:w="234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tcPr>
          <w:p>
            <w:r>
              <w:rPr>
                <w:rFonts w:ascii="Arial" w:cs="Arial" w:eastAsia="Arial" w:hAnsi="Arial"/>
                <w:b/>
                <w:bCs/>
                <w:color w:val="FFFFFF"/>
                <w:sz w:val="20"/>
                <w:szCs w:val="20"/>
              </w:rPr>
              <w:t xml:space="preserve">Оцінка</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111827"/>
                <w:sz w:val="20"/>
                <w:szCs w:val="20"/>
              </w:rPr>
              <w:t xml:space="preserve">Загальний дохід (Revenue)</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85,27 млн USD</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4B5563"/>
                <w:sz w:val="20"/>
                <w:szCs w:val="20"/>
              </w:rPr>
              <w:t xml:space="preserve">6 років, 113 036 транзакцій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Загальний прибуток (Gross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32,22 млн USD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B5563"/>
                <w:sz w:val="20"/>
                <w:szCs w:val="20"/>
              </w:rPr>
              <w:t xml:space="preserve">Маржа стабільна</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111827"/>
                <w:sz w:val="20"/>
                <w:szCs w:val="20"/>
              </w:rPr>
              <w:t xml:space="preserve">Валова маржа (Gross Margin)</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37,79 %</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4B5563"/>
                <w:sz w:val="20"/>
                <w:szCs w:val="20"/>
              </w:rPr>
              <w:t xml:space="preserve">Нижче цільових 38 % (жовтий)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Відхилення від плану (Budget Var.)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-0,05 %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B5563"/>
                <w:sz w:val="20"/>
                <w:szCs w:val="20"/>
              </w:rPr>
              <w:t xml:space="preserve">Майже за планом (зелений)</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111827"/>
                <w:sz w:val="20"/>
                <w:szCs w:val="20"/>
              </w:rPr>
              <w:t xml:space="preserve">Топ-категорія</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Accessories</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4B5563"/>
                <w:sz w:val="20"/>
                <w:szCs w:val="20"/>
              </w:rPr>
              <w:t xml:space="preserve">DB-Quote: 58,6 %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Топ-країна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США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B5563"/>
                <w:sz w:val="20"/>
                <w:szCs w:val="20"/>
              </w:rPr>
              <w:t xml:space="preserve">27,98 млн USD доходу</w:t>
            </w:r>
          </w:p>
        </w:tc>
      </w:tr>
    </w:tbl>
    <w:p>
      <w:pPr>
        <w:spacing w:after="40" w:before="40"/>
      </w:pPr>
      <w:r>
        <w:t xml:space="preserve"/>
      </w:r>
    </w:p>
    <w:p>
      <w:pPr>
        <w:pStyle w:val="Heading1"/>
        <w:spacing w:after="160" w:before="320"/>
      </w:pPr>
      <w:r>
        <w:rPr>
          <w:rFonts w:ascii="Arial" w:cs="Arial" w:eastAsia="Arial" w:hAnsi="Arial"/>
          <w:b/>
          <w:bCs/>
          <w:color w:val="1D3557"/>
          <w:sz w:val="36"/>
          <w:szCs w:val="36"/>
        </w:rPr>
        <w:t xml:space="preserve">2. Структура проекту — 4 модулі</w:t>
      </w:r>
    </w:p>
    <w:p>
      <w:pPr>
        <w:pStyle w:val="Heading2"/>
        <w:spacing w:after="120" w:before="240"/>
      </w:pPr>
      <w:r>
        <w:rPr>
          <w:rFonts w:ascii="Arial" w:cs="Arial" w:eastAsia="Arial" w:hAnsi="Arial"/>
          <w:b/>
          <w:bCs/>
          <w:color w:val="1D3557"/>
          <w:sz w:val="28"/>
          <w:szCs w:val="28"/>
        </w:rPr>
        <w:t xml:space="preserve">Модуль 0 — Підготовка даних (00_data_preparation.ipynb)</w:t>
      </w:r>
    </w:p>
    <w:p>
      <w:pPr>
        <w:spacing w:after="60" w:before="60"/>
      </w:pPr>
      <w:r>
        <w:rPr>
          <w:rFonts w:ascii="Arial" w:cs="Arial" w:eastAsia="Arial" w:hAnsi="Arial"/>
          <w:color w:val="111827"/>
          <w:sz w:val="22"/>
          <w:szCs w:val="22"/>
        </w:rPr>
        <w:t xml:space="preserve">Що тут відбувається: завантажуємо CSV з 113 036 рядками, стандартизуємо назви стовпців, парсимо дати, створюємо нові поля.</w:t>
      </w:r>
    </w:p>
    <w:p>
      <w:pPr>
        <w:spacing w:after="40" w:before="40"/>
      </w:pPr>
      <w:r>
        <w:t xml:space="preserve"/>
      </w:r>
    </w:p>
    <w:p>
      <w:pPr>
        <w:spacing w:after="60" w:before="60"/>
      </w:pPr>
      <w:r>
        <w:rPr>
          <w:rFonts w:ascii="Arial" w:cs="Arial" w:eastAsia="Arial" w:hAnsi="Arial"/>
          <w:b/>
          <w:bCs/>
          <w:color w:val="111827"/>
          <w:sz w:val="22"/>
          <w:szCs w:val="22"/>
        </w:rPr>
        <w:t xml:space="preserve">Нові стовпці та їх зміст:</w:t>
      </w:r>
    </w:p>
    <w:p>
      <w:pPr>
        <w:pStyle w:val="ListParagraph"/>
        <w:numPr>
          <w:ilvl w:val="0"/>
          <w:numId w:val="2"/>
        </w:numPr>
        <w:spacing w:after="40" w:before="40"/>
      </w:pPr>
      <w:r>
        <w:rPr>
          <w:rFonts w:ascii="Arial" w:cs="Arial" w:eastAsia="Arial" w:hAnsi="Arial"/>
          <w:color w:val="111827"/>
          <w:sz w:val="22"/>
          <w:szCs w:val="22"/>
        </w:rPr>
        <w:t xml:space="preserve">year_month — ідентифікатор місяця (наприклад, 2015-07). Використовується для агрегації у місячному закритті.</w:t>
      </w:r>
    </w:p>
    <w:p>
      <w:pPr>
        <w:pStyle w:val="ListParagraph"/>
        <w:numPr>
          <w:ilvl w:val="0"/>
          <w:numId w:val="2"/>
        </w:numPr>
        <w:spacing w:after="40" w:before="40"/>
      </w:pPr>
      <w:r>
        <w:rPr>
          <w:rFonts w:ascii="Arial" w:cs="Arial" w:eastAsia="Arial" w:hAnsi="Arial"/>
          <w:color w:val="111827"/>
          <w:sz w:val="22"/>
          <w:szCs w:val="22"/>
        </w:rPr>
        <w:t xml:space="preserve">quarter — квартал (Q1, Q2, Q3, Q4). Потрібен для квартального план-факт-аналізу.</w:t>
      </w:r>
    </w:p>
    <w:p>
      <w:pPr>
        <w:pStyle w:val="ListParagraph"/>
        <w:numPr>
          <w:ilvl w:val="0"/>
          <w:numId w:val="2"/>
        </w:numPr>
        <w:spacing w:after="40" w:before="40"/>
      </w:pPr>
      <w:r>
        <w:rPr>
          <w:rFonts w:ascii="Arial" w:cs="Arial" w:eastAsia="Arial" w:hAnsi="Arial"/>
          <w:color w:val="111827"/>
          <w:sz w:val="22"/>
          <w:szCs w:val="22"/>
        </w:rPr>
        <w:t xml:space="preserve">fiscal_year — рік. Основа для річного закриття.</w:t>
      </w:r>
    </w:p>
    <w:p>
      <w:pPr>
        <w:pStyle w:val="ListParagraph"/>
        <w:numPr>
          <w:ilvl w:val="0"/>
          <w:numId w:val="2"/>
        </w:numPr>
        <w:spacing w:after="40" w:before="40"/>
      </w:pPr>
      <w:r>
        <w:rPr>
          <w:rFonts w:ascii="Arial" w:cs="Arial" w:eastAsia="Arial" w:hAnsi="Arial"/>
          <w:color w:val="111827"/>
          <w:sz w:val="22"/>
          <w:szCs w:val="22"/>
        </w:rPr>
        <w:t xml:space="preserve">gross_margin_pct = profit / revenue × 100. Показує, скільки % від доходу залишається як прибуток до накладних витрат.</w:t>
      </w:r>
    </w:p>
    <w:p>
      <w:pPr>
        <w:pStyle w:val="ListParagraph"/>
        <w:numPr>
          <w:ilvl w:val="0"/>
          <w:numId w:val="2"/>
        </w:numPr>
        <w:spacing w:after="40" w:before="40"/>
      </w:pPr>
      <w:r>
        <w:rPr>
          <w:rFonts w:ascii="Arial" w:cs="Arial" w:eastAsia="Arial" w:hAnsi="Arial"/>
          <w:color w:val="111827"/>
          <w:sz w:val="22"/>
          <w:szCs w:val="22"/>
        </w:rPr>
        <w:t xml:space="preserve">revenue_plan = revenue × (1 ± 12%). Симульовані планові значення — оскільки оригінальний датасет не містить бюджетних даних. Це стандартна практика для історичних датасетів у Controlling.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gross_margin_pct  = (profit / revenue) × 100</w:t>
            </w:r>
          </w:p>
          <w:p>
            <w:pPr>
              <w:spacing w:after="30" w:before="30"/>
            </w:pPr>
            <w:r>
              <w:rPr>
                <w:rFonts w:ascii="Courier New" w:cs="Courier New" w:eastAsia="Courier New" w:hAnsi="Courier New"/>
                <w:color w:val="1D3557"/>
                <w:sz w:val="20"/>
                <w:szCs w:val="20"/>
              </w:rPr>
              <w:t xml:space="preserve">revenue_plan      = revenue × (1 + uniform(-0.12, +0.12))</w:t>
            </w:r>
          </w:p>
          <w:p>
            <w:pPr>
              <w:spacing w:after="30" w:before="30"/>
            </w:pPr>
            <w:r>
              <w:rPr>
                <w:rFonts w:ascii="Courier New" w:cs="Courier New" w:eastAsia="Courier New" w:hAnsi="Courier New"/>
                <w:color w:val="1D3557"/>
                <w:sz w:val="20"/>
                <w:szCs w:val="20"/>
              </w:rPr>
              <w:t xml:space="preserve">revenue_var_abs   = revenue - revenue_plan</w:t>
            </w:r>
          </w:p>
          <w:p>
            <w:pPr>
              <w:spacing w:after="30" w:before="30"/>
            </w:pPr>
            <w:r>
              <w:rPr>
                <w:rFonts w:ascii="Courier New" w:cs="Courier New" w:eastAsia="Courier New" w:hAnsi="Courier New"/>
                <w:color w:val="1D3557"/>
                <w:sz w:val="20"/>
                <w:szCs w:val="20"/>
              </w:rPr>
              <w:t xml:space="preserve">revenue_var_pct   = revenue_var_abs / revenue_plan × 100</w:t>
            </w:r>
          </w:p>
        </w:tc>
      </w:tr>
    </w:tbl>
    <w:p>
      <w:pPr>
        <w:spacing w:after="40" w:before="40"/>
      </w:pPr>
      <w:r>
        <w:t xml:space="preserve"/>
      </w:r>
    </w:p>
    <w:p>
      <w:pPr>
        <w:pStyle w:val="Heading2"/>
        <w:spacing w:after="120" w:before="240"/>
      </w:pPr>
      <w:r>
        <w:rPr>
          <w:rFonts w:ascii="Arial" w:cs="Arial" w:eastAsia="Arial" w:hAnsi="Arial"/>
          <w:b/>
          <w:bCs/>
          <w:color w:val="1D3557"/>
          <w:sz w:val="28"/>
          <w:szCs w:val="28"/>
        </w:rPr>
        <w:t xml:space="preserve">Модуль 1 — Бухгалтерія: Місячне закриття (01_accounting_closing.ipynb)</w:t>
      </w:r>
    </w:p>
    <w:p>
      <w:pPr>
        <w:spacing w:after="60" w:before="60"/>
      </w:pPr>
      <w:r>
        <w:rPr>
          <w:rFonts w:ascii="Arial" w:cs="Arial" w:eastAsia="Arial" w:hAnsi="Arial"/>
          <w:color w:val="111827"/>
          <w:sz w:val="22"/>
          <w:szCs w:val="22"/>
        </w:rPr>
        <w:t xml:space="preserve">Це серцевина проекту. Тут ми імітуємо реальний процес Monatsabschluss (місячного закриття) — від перевірки даних до підпису CFO.</w:t>
      </w:r>
    </w:p>
    <w:p>
      <w:pPr>
        <w:spacing w:after="40" w:before="40"/>
      </w:pPr>
      <w:r>
        <w:t xml:space="preserve"/>
      </w:r>
    </w:p>
    <w:p>
      <w:pPr>
        <w:spacing w:after="60" w:before="60"/>
      </w:pPr>
      <w:r>
        <w:rPr>
          <w:rFonts w:ascii="Arial" w:cs="Arial" w:eastAsia="Arial" w:hAnsi="Arial"/>
          <w:b/>
          <w:bCs/>
          <w:color w:val="111827"/>
          <w:sz w:val="22"/>
          <w:szCs w:val="22"/>
        </w:rPr>
        <w:t xml:space="preserve">Звіт про прибутки і збитки (GuV / P&amp;L):</w:t>
      </w:r>
    </w:p>
    <w:p>
      <w:pPr>
        <w:spacing w:after="60" w:before="60"/>
      </w:pPr>
      <w:r>
        <w:rPr>
          <w:rFonts w:ascii="Arial" w:cs="Arial" w:eastAsia="Arial" w:hAnsi="Arial"/>
          <w:color w:val="111827"/>
          <w:sz w:val="22"/>
          <w:szCs w:val="22"/>
        </w:rPr>
        <w:t xml:space="preserve">Усі транзакції агрегуються по місяцях. Структура GuV: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 Umsatzerlöse / Revenue             = сума всіх продажів за місяць</w:t>
            </w:r>
          </w:p>
          <w:p>
            <w:pPr>
              <w:spacing w:after="30" w:before="30"/>
            </w:pPr>
            <w:r>
              <w:rPr>
                <w:rFonts w:ascii="Courier New" w:cs="Courier New" w:eastAsia="Courier New" w:hAnsi="Courier New"/>
                <w:color w:val="1D3557"/>
                <w:sz w:val="20"/>
                <w:szCs w:val="20"/>
              </w:rPr>
              <w:t xml:space="preserve">(-) COGS (Umsatzkosten)                = сума всіх витрат за місяць</w:t>
            </w:r>
          </w:p>
          <w:p>
            <w:pPr>
              <w:spacing w:after="30" w:before="30"/>
            </w:pPr>
            <w:r>
              <w:rPr>
                <w:rFonts w:ascii="Courier New" w:cs="Courier New" w:eastAsia="Courier New" w:hAnsi="Courier New"/>
                <w:color w:val="1D3557"/>
                <w:sz w:val="20"/>
                <w:szCs w:val="20"/>
              </w:rPr>
              <w:t xml:space="preserve">(=) Bruttoergebnis / Gross Profit      = Revenue - COGS</w:t>
            </w:r>
          </w:p>
          <w:p>
            <w:pPr>
              <w:spacing w:after="30" w:before="30"/>
            </w:pPr>
            <w:r>
              <w:rPr>
                <w:rFonts w:ascii="Courier New" w:cs="Courier New" w:eastAsia="Courier New" w:hAnsi="Courier New"/>
                <w:color w:val="1D3557"/>
                <w:sz w:val="20"/>
                <w:szCs w:val="20"/>
              </w:rPr>
              <w:t xml:space="preserve">    Bruttomarge % / Gross Margin %     = GP / Revenue × 100</w:t>
            </w:r>
          </w:p>
          <w:p>
            <w:pPr>
              <w:spacing w:after="30" w:before="30"/>
            </w:pPr>
            <w:r>
              <w:rPr>
                <w:rFonts w:ascii="Courier New" w:cs="Courier New" w:eastAsia="Courier New" w:hAnsi="Courier New"/>
                <w:color w:val="1D3557"/>
                <w:sz w:val="20"/>
                <w:szCs w:val="20"/>
              </w:rPr>
              <w:t xml:space="preserve"/>
            </w:r>
          </w:p>
          <w:p>
            <w:pPr>
              <w:spacing w:after="30" w:before="30"/>
            </w:pPr>
            <w:r>
              <w:rPr>
                <w:rFonts w:ascii="Courier New" w:cs="Courier New" w:eastAsia="Courier New" w:hAnsi="Courier New"/>
                <w:color w:val="1D3557"/>
                <w:sz w:val="20"/>
                <w:szCs w:val="20"/>
              </w:rPr>
              <w:t xml:space="preserve">Abweichung abs / Variance abs          = Ist - Plan</w:t>
            </w:r>
          </w:p>
          <w:p>
            <w:pPr>
              <w:spacing w:after="30" w:before="30"/>
            </w:pPr>
            <w:r>
              <w:rPr>
                <w:rFonts w:ascii="Courier New" w:cs="Courier New" w:eastAsia="Courier New" w:hAnsi="Courier New"/>
                <w:color w:val="1D3557"/>
                <w:sz w:val="20"/>
                <w:szCs w:val="20"/>
              </w:rPr>
              <w:t xml:space="preserve">Abweichung %   / Variance %            = (Ist - Plan) / Plan × 100</w:t>
            </w:r>
          </w:p>
        </w:tc>
      </w:tr>
    </w:tbl>
    <w:p>
      <w:pPr>
        <w:spacing w:after="40" w:before="40"/>
      </w:pPr>
      <w:r>
        <w:t xml:space="preserve"/>
      </w:r>
    </w:p>
    <w:p>
      <w:pPr>
        <w:spacing w:after="60" w:before="60"/>
      </w:pPr>
      <w:r>
        <w:rPr>
          <w:rFonts w:ascii="Arial" w:cs="Arial" w:eastAsia="Arial" w:hAnsi="Arial"/>
          <w:b/>
          <w:bCs/>
          <w:color w:val="111827"/>
          <w:sz w:val="22"/>
          <w:szCs w:val="22"/>
        </w:rPr>
        <w:t xml:space="preserve">Rechnungsabgrenzung (Облік на межі періодів / Accruals):</w:t>
      </w:r>
    </w:p>
    <w:p>
      <w:pPr>
        <w:spacing w:after="60" w:before="60"/>
      </w:pPr>
      <w:r>
        <w:rPr>
          <w:rFonts w:ascii="Arial" w:cs="Arial" w:eastAsia="Arial" w:hAnsi="Arial"/>
          <w:color w:val="111827"/>
          <w:sz w:val="22"/>
          <w:szCs w:val="22"/>
        </w:rPr>
        <w:t xml:space="preserve">Один із найважливіших принципів бухгалтерського обліку: доходи і витрати мають належати до тієї ж облікової Période, до якої вони економічно відносяться, незалежно від руху грошей (§250 HGB, Matching Principle за IFRS).</w:t>
      </w:r>
    </w:p>
    <w:p>
      <w:pPr>
        <w:spacing w:after="40" w:before="40"/>
      </w:pPr>
      <w:r>
        <w:t xml:space="preserve"/>
      </w:r>
    </w:p>
    <w:p>
      <w:pPr>
        <w:pStyle w:val="ListParagraph"/>
        <w:numPr>
          <w:ilvl w:val="0"/>
          <w:numId w:val="2"/>
        </w:numPr>
        <w:spacing w:after="40" w:before="40"/>
      </w:pPr>
      <w:r>
        <w:rPr>
          <w:rFonts w:ascii="Arial" w:cs="Arial" w:eastAsia="Arial" w:hAnsi="Arial"/>
          <w:color w:val="111827"/>
          <w:sz w:val="22"/>
          <w:szCs w:val="22"/>
        </w:rPr>
        <w:t xml:space="preserve">ARAP (Aktive Rechnungsabgrenzung / Prepaid Revenue) — активна стаття балансу. 5% доходу не буде виставлено рахунок у цьому місяці, воно переноситься на наступний. Формула: ARAP = Revenue × 5%. Наслідок: скоригований прибуток цього місяця зменшується.</w:t>
      </w:r>
    </w:p>
    <w:p>
      <w:pPr>
        <w:pStyle w:val="ListParagraph"/>
        <w:numPr>
          <w:ilvl w:val="0"/>
          <w:numId w:val="2"/>
        </w:numPr>
        <w:spacing w:after="40" w:before="40"/>
      </w:pPr>
      <w:r>
        <w:rPr>
          <w:rFonts w:ascii="Arial" w:cs="Arial" w:eastAsia="Arial" w:hAnsi="Arial"/>
          <w:color w:val="111827"/>
          <w:sz w:val="22"/>
          <w:szCs w:val="22"/>
        </w:rPr>
        <w:t xml:space="preserve">PRAP (Passive Rechnungsabgrenzung / Deferred Cost) — пасивна стаття балансу. 3% витрат фактично належать наступному місяцю. Формула: PRAP = COGS × 3%. Наслідок: витрати цього місяця зменшуються, прибуток зростає.</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ARAP                = Revenue × 5%</w:t>
            </w:r>
          </w:p>
          <w:p>
            <w:pPr>
              <w:spacing w:after="30" w:before="30"/>
            </w:pPr>
            <w:r>
              <w:rPr>
                <w:rFonts w:ascii="Courier New" w:cs="Courier New" w:eastAsia="Courier New" w:hAnsi="Courier New"/>
                <w:color w:val="1D3557"/>
                <w:sz w:val="20"/>
                <w:szCs w:val="20"/>
              </w:rPr>
              <w:t xml:space="preserve">PRAP                = COGS × 3%</w:t>
            </w:r>
          </w:p>
          <w:p>
            <w:pPr>
              <w:spacing w:after="30" w:before="30"/>
            </w:pPr>
            <w:r>
              <w:rPr>
                <w:rFonts w:ascii="Courier New" w:cs="Courier New" w:eastAsia="Courier New" w:hAnsi="Courier New"/>
                <w:color w:val="1D3557"/>
                <w:sz w:val="20"/>
                <w:szCs w:val="20"/>
              </w:rPr>
              <w:t xml:space="preserve">Ergebnis_bereinigt  = Bruttoergebnis - ARAP + PRAP</w:t>
            </w:r>
          </w:p>
          <w:p>
            <w:pPr>
              <w:spacing w:after="30" w:before="30"/>
            </w:pPr>
            <w:r>
              <w:rPr>
                <w:rFonts w:ascii="Courier New" w:cs="Courier New" w:eastAsia="Courier New" w:hAnsi="Courier New"/>
                <w:color w:val="1D3557"/>
                <w:sz w:val="20"/>
                <w:szCs w:val="20"/>
              </w:rPr>
              <w:t xml:space="preserve"/>
            </w:r>
          </w:p>
          <w:p>
            <w:pPr>
              <w:spacing w:after="30" w:before="30"/>
            </w:pPr>
            <w:r>
              <w:rPr>
                <w:rFonts w:ascii="Courier New" w:cs="Courier New" w:eastAsia="Courier New" w:hAnsi="Courier New"/>
                <w:color w:val="1D3557"/>
                <w:sz w:val="20"/>
                <w:szCs w:val="20"/>
              </w:rPr>
              <w:t xml:space="preserve">RAG-статус:  &gt;= +3%  =&gt;  зелений (Grün)</w:t>
            </w:r>
          </w:p>
          <w:p>
            <w:pPr>
              <w:spacing w:after="30" w:before="30"/>
            </w:pPr>
            <w:r>
              <w:rPr>
                <w:rFonts w:ascii="Courier New" w:cs="Courier New" w:eastAsia="Courier New" w:hAnsi="Courier New"/>
                <w:color w:val="1D3557"/>
                <w:sz w:val="20"/>
                <w:szCs w:val="20"/>
              </w:rPr>
              <w:t xml:space="preserve">             &gt;= -3%  =&gt;  жовтий (Amber)</w:t>
            </w:r>
          </w:p>
          <w:p>
            <w:pPr>
              <w:spacing w:after="30" w:before="30"/>
            </w:pPr>
            <w:r>
              <w:rPr>
                <w:rFonts w:ascii="Courier New" w:cs="Courier New" w:eastAsia="Courier New" w:hAnsi="Courier New"/>
                <w:color w:val="1D3557"/>
                <w:sz w:val="20"/>
                <w:szCs w:val="20"/>
              </w:rPr>
              <w:t xml:space="preserve">             &lt;  -3%  =&gt;  червоний (Rot)</w:t>
            </w:r>
          </w:p>
        </w:tc>
      </w:tr>
    </w:tbl>
    <w:p>
      <w:pPr>
        <w:spacing w:after="40" w:before="40"/>
      </w:pPr>
      <w:r>
        <w:t xml:space="preserve"/>
      </w:r>
    </w:p>
    <w:p>
      <w:pPr>
        <w:spacing w:after="60" w:before="60"/>
      </w:pPr>
      <w:r>
        <w:rPr>
          <w:rFonts w:ascii="Arial" w:cs="Arial" w:eastAsia="Arial" w:hAnsi="Arial"/>
          <w:b/>
          <w:bCs/>
          <w:color w:val="111827"/>
          <w:sz w:val="22"/>
          <w:szCs w:val="22"/>
        </w:rPr>
        <w:t xml:space="preserve">Checkliste місячного закриття (closing_checklist_v5.xlsx):</w:t>
      </w:r>
    </w:p>
    <w:p>
      <w:pPr>
        <w:spacing w:after="60" w:before="60"/>
      </w:pPr>
      <w:r>
        <w:rPr>
          <w:rFonts w:ascii="Arial" w:cs="Arial" w:eastAsia="Arial" w:hAnsi="Arial"/>
          <w:color w:val="111827"/>
          <w:sz w:val="22"/>
          <w:szCs w:val="22"/>
        </w:rPr>
        <w:t xml:space="preserve">9 завдань із WD-логікою (Working Days — робочі дні до закриття):</w:t>
      </w:r>
    </w:p>
    <w:p>
      <w:pPr>
        <w:pStyle w:val="ListParagraph"/>
        <w:numPr>
          <w:ilvl w:val="0"/>
          <w:numId w:val="2"/>
        </w:numPr>
        <w:spacing w:after="40" w:before="40"/>
      </w:pPr>
      <w:r>
        <w:rPr>
          <w:rFonts w:ascii="Arial" w:cs="Arial" w:eastAsia="Arial" w:hAnsi="Arial"/>
          <w:color w:val="111827"/>
          <w:sz w:val="22"/>
          <w:szCs w:val="22"/>
        </w:rPr>
        <w:t xml:space="preserve">WD-3: Перевірка сирих даних (Raw Data Check)</w:t>
      </w:r>
    </w:p>
    <w:p>
      <w:pPr>
        <w:pStyle w:val="ListParagraph"/>
        <w:numPr>
          <w:ilvl w:val="0"/>
          <w:numId w:val="2"/>
        </w:numPr>
        <w:spacing w:after="40" w:before="40"/>
      </w:pPr>
      <w:r>
        <w:rPr>
          <w:rFonts w:ascii="Arial" w:cs="Arial" w:eastAsia="Arial" w:hAnsi="Arial"/>
          <w:color w:val="111827"/>
          <w:sz w:val="22"/>
          <w:szCs w:val="22"/>
        </w:rPr>
        <w:t xml:space="preserve">WD-2: Звірка доходів і витрат (Revenue &amp; Cost Reconciliation)</w:t>
      </w:r>
    </w:p>
    <w:p>
      <w:pPr>
        <w:pStyle w:val="ListParagraph"/>
        <w:numPr>
          <w:ilvl w:val="0"/>
          <w:numId w:val="2"/>
        </w:numPr>
        <w:spacing w:after="40" w:before="40"/>
      </w:pPr>
      <w:r>
        <w:rPr>
          <w:rFonts w:ascii="Arial" w:cs="Arial" w:eastAsia="Arial" w:hAnsi="Arial"/>
          <w:color w:val="111827"/>
          <w:sz w:val="22"/>
          <w:szCs w:val="22"/>
        </w:rPr>
        <w:t xml:space="preserve">WD-1: Нарахування, план-факт-аналіз, GuV</w:t>
      </w:r>
    </w:p>
    <w:p>
      <w:pPr>
        <w:pStyle w:val="ListParagraph"/>
        <w:numPr>
          <w:ilvl w:val="0"/>
          <w:numId w:val="2"/>
        </w:numPr>
        <w:spacing w:after="40" w:before="40"/>
      </w:pPr>
      <w:r>
        <w:rPr>
          <w:rFonts w:ascii="Arial" w:cs="Arial" w:eastAsia="Arial" w:hAnsi="Arial"/>
          <w:color w:val="111827"/>
          <w:sz w:val="22"/>
          <w:szCs w:val="22"/>
        </w:rPr>
        <w:t xml:space="preserve">WD 0: Management Review та підпис CFO</w:t>
      </w:r>
    </w:p>
    <w:p>
      <w:pPr>
        <w:pStyle w:val="ListParagraph"/>
        <w:numPr>
          <w:ilvl w:val="0"/>
          <w:numId w:val="2"/>
        </w:numPr>
        <w:spacing w:after="40" w:before="40"/>
      </w:pPr>
      <w:r>
        <w:rPr>
          <w:rFonts w:ascii="Arial" w:cs="Arial" w:eastAsia="Arial" w:hAnsi="Arial"/>
          <w:color w:val="111827"/>
          <w:sz w:val="22"/>
          <w:szCs w:val="22"/>
        </w:rPr>
        <w:t xml:space="preserve">WD+1: Архівація всіх документів</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Модуль 2 — Контролінг: План-Факт-Аналіз (02_controlling_plan_ist.ipynb)</w:t>
      </w:r>
    </w:p>
    <w:p>
      <w:pPr>
        <w:spacing w:after="60" w:before="60"/>
      </w:pPr>
      <w:r>
        <w:rPr>
          <w:rFonts w:ascii="Arial" w:cs="Arial" w:eastAsia="Arial" w:hAnsi="Arial"/>
          <w:color w:val="111827"/>
          <w:sz w:val="22"/>
          <w:szCs w:val="22"/>
        </w:rPr>
        <w:t xml:space="preserve">Мета контролінгу: не просто підрахувати факт, а пояснити відхилення від плану і надати управлінські рекомендації.</w:t>
      </w:r>
    </w:p>
    <w:p>
      <w:pPr>
        <w:spacing w:after="40" w:before="40"/>
      </w:pPr>
      <w:r>
        <w:t xml:space="preserve"/>
      </w:r>
    </w:p>
    <w:p>
      <w:pPr>
        <w:spacing w:after="60" w:before="60"/>
      </w:pPr>
      <w:r>
        <w:rPr>
          <w:rFonts w:ascii="Arial" w:cs="Arial" w:eastAsia="Arial" w:hAnsi="Arial"/>
          <w:b/>
          <w:bCs/>
          <w:color w:val="111827"/>
          <w:sz w:val="22"/>
          <w:szCs w:val="22"/>
        </w:rPr>
        <w:t xml:space="preserve">KPI-дашборд (ключові показники):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Umsatz YoY%  = (Revenue_t - Revenue_{t-1}) / Revenue_{t-1} × 100</w:t>
            </w:r>
          </w:p>
          <w:p>
            <w:pPr>
              <w:spacing w:after="30" w:before="30"/>
            </w:pPr>
            <w:r>
              <w:rPr>
                <w:rFonts w:ascii="Courier New" w:cs="Courier New" w:eastAsia="Courier New" w:hAnsi="Courier New"/>
                <w:color w:val="1D3557"/>
                <w:sz w:val="20"/>
                <w:szCs w:val="20"/>
              </w:rPr>
              <w:t xml:space="preserve">DB-Quote     = (Revenue - variable Kosten) / Revenue × 100</w:t>
            </w:r>
          </w:p>
          <w:p>
            <w:pPr>
              <w:spacing w:after="30" w:before="30"/>
            </w:pPr>
            <w:r>
              <w:rPr>
                <w:rFonts w:ascii="Courier New" w:cs="Courier New" w:eastAsia="Courier New" w:hAnsi="Courier New"/>
                <w:color w:val="1D3557"/>
                <w:sz w:val="20"/>
                <w:szCs w:val="20"/>
              </w:rPr>
              <w:t xml:space="preserve">DB (Deckungsbeitrag / Contribution Margin) = Revenue - variable Kosten</w:t>
            </w:r>
          </w:p>
        </w:tc>
      </w:tr>
    </w:tbl>
    <w:p>
      <w:pPr>
        <w:spacing w:after="40" w:before="40"/>
      </w:pPr>
      <w:r>
        <w:t xml:space="preserve"/>
      </w:r>
    </w:p>
    <w:p>
      <w:pPr>
        <w:spacing w:after="60" w:before="60"/>
      </w:pPr>
      <w:r>
        <w:rPr>
          <w:rFonts w:ascii="Arial" w:cs="Arial" w:eastAsia="Arial" w:hAnsi="Arial"/>
          <w:b/>
          <w:bCs/>
          <w:color w:val="111827"/>
          <w:sz w:val="22"/>
          <w:szCs w:val="22"/>
        </w:rPr>
        <w:t xml:space="preserve">Аналіз відхилень (Abweichungsanalyse):</w:t>
      </w:r>
    </w:p>
    <w:p>
      <w:pPr>
        <w:pStyle w:val="ListParagraph"/>
        <w:numPr>
          <w:ilvl w:val="0"/>
          <w:numId w:val="2"/>
        </w:numPr>
        <w:spacing w:after="40" w:before="40"/>
      </w:pPr>
      <w:r>
        <w:rPr>
          <w:rFonts w:ascii="Arial" w:cs="Arial" w:eastAsia="Arial" w:hAnsi="Arial"/>
          <w:color w:val="111827"/>
          <w:sz w:val="22"/>
          <w:szCs w:val="22"/>
        </w:rPr>
        <w:t xml:space="preserve">Ціновий ефект (Preiseffekt): скільки відхилення пояснюється різницею в ціні → = (Ist-Preis - Plan-Preis) × Plan-Menge</w:t>
      </w:r>
    </w:p>
    <w:p>
      <w:pPr>
        <w:pStyle w:val="ListParagraph"/>
        <w:numPr>
          <w:ilvl w:val="0"/>
          <w:numId w:val="2"/>
        </w:numPr>
        <w:spacing w:after="40" w:before="40"/>
      </w:pPr>
      <w:r>
        <w:rPr>
          <w:rFonts w:ascii="Arial" w:cs="Arial" w:eastAsia="Arial" w:hAnsi="Arial"/>
          <w:color w:val="111827"/>
          <w:sz w:val="22"/>
          <w:szCs w:val="22"/>
        </w:rPr>
        <w:t xml:space="preserve">Кількісний ефект (Mengeneffekt): скільки відхилення пояснюється різницею в обсязі продажів → = (Ist-Menge - Plan-Menge) × Plan-Preis</w:t>
      </w:r>
    </w:p>
    <w:p>
      <w:pPr>
        <w:spacing w:after="40" w:before="40"/>
      </w:pPr>
      <w:r>
        <w:t xml:space="preserve"/>
      </w:r>
    </w:p>
    <w:p>
      <w:pPr>
        <w:spacing w:after="60" w:before="60"/>
      </w:pPr>
      <w:r>
        <w:rPr>
          <w:rFonts w:ascii="Arial" w:cs="Arial" w:eastAsia="Arial" w:hAnsi="Arial"/>
          <w:b/>
          <w:bCs/>
          <w:color w:val="111827"/>
          <w:sz w:val="22"/>
          <w:szCs w:val="22"/>
        </w:rPr>
        <w:t xml:space="preserve">Бізнес-інсайт: Франція</w:t>
      </w:r>
    </w:p>
    <w:p>
      <w:pPr>
        <w:spacing w:after="60" w:before="60"/>
      </w:pPr>
      <w:r>
        <w:rPr>
          <w:rFonts w:ascii="Arial" w:cs="Arial" w:eastAsia="Arial" w:hAnsi="Arial"/>
          <w:color w:val="111827"/>
          <w:sz w:val="22"/>
          <w:szCs w:val="22"/>
        </w:rPr>
        <w:t xml:space="preserve">Франція має найбільше від'ємне відхилення від плану: -0,38% (усі інші країни: від -0,10% до +0,07%). Детальний квартальний аналіз 2015 року:</w:t>
      </w:r>
    </w:p>
    <w:p>
      <w:pPr>
        <w:pStyle w:val="ListParagraph"/>
        <w:numPr>
          <w:ilvl w:val="0"/>
          <w:numId w:val="2"/>
        </w:numPr>
        <w:spacing w:after="40" w:before="40"/>
      </w:pPr>
      <w:r>
        <w:rPr>
          <w:rFonts w:ascii="Arial" w:cs="Arial" w:eastAsia="Arial" w:hAnsi="Arial"/>
          <w:color w:val="111827"/>
          <w:sz w:val="22"/>
          <w:szCs w:val="22"/>
        </w:rPr>
        <w:t xml:space="preserve">Q1: +0,62% (вище плану)</w:t>
      </w:r>
    </w:p>
    <w:p>
      <w:pPr>
        <w:pStyle w:val="ListParagraph"/>
        <w:numPr>
          <w:ilvl w:val="0"/>
          <w:numId w:val="2"/>
        </w:numPr>
        <w:spacing w:after="40" w:before="40"/>
      </w:pPr>
      <w:r>
        <w:rPr>
          <w:rFonts w:ascii="Arial" w:cs="Arial" w:eastAsia="Arial" w:hAnsi="Arial"/>
          <w:color w:val="111827"/>
          <w:sz w:val="22"/>
          <w:szCs w:val="22"/>
        </w:rPr>
        <w:t xml:space="preserve">Q2: +0,03% (незначно вище плану)</w:t>
      </w:r>
    </w:p>
    <w:p>
      <w:pPr>
        <w:pStyle w:val="ListParagraph"/>
        <w:numPr>
          <w:ilvl w:val="0"/>
          <w:numId w:val="2"/>
        </w:numPr>
        <w:spacing w:after="40" w:before="40"/>
      </w:pPr>
      <w:r>
        <w:rPr>
          <w:rFonts w:ascii="Arial" w:cs="Arial" w:eastAsia="Arial" w:hAnsi="Arial"/>
          <w:color w:val="111827"/>
          <w:sz w:val="22"/>
          <w:szCs w:val="22"/>
        </w:rPr>
        <w:t xml:space="preserve">Q3: -0,26% (нижче плану)</w:t>
      </w:r>
    </w:p>
    <w:p>
      <w:pPr>
        <w:pStyle w:val="ListParagraph"/>
        <w:numPr>
          <w:ilvl w:val="0"/>
          <w:numId w:val="2"/>
        </w:numPr>
        <w:spacing w:after="40" w:before="40"/>
      </w:pPr>
      <w:r>
        <w:rPr>
          <w:rFonts w:ascii="Arial" w:cs="Arial" w:eastAsia="Arial" w:hAnsi="Arial"/>
          <w:color w:val="111827"/>
          <w:sz w:val="22"/>
          <w:szCs w:val="22"/>
        </w:rPr>
        <w:t xml:space="preserve">Q4: -0,33% (нижче плану)</w:t>
      </w:r>
    </w:p>
    <w:p>
      <w:pPr>
        <w:spacing w:after="60" w:before="60"/>
      </w:pPr>
      <w:r>
        <w:rPr>
          <w:rFonts w:ascii="Arial" w:cs="Arial" w:eastAsia="Arial" w:hAnsi="Arial"/>
          <w:color w:val="111827"/>
          <w:sz w:val="22"/>
          <w:szCs w:val="22"/>
        </w:rPr>
        <w:t xml:space="preserve">Додатково: валова маржа Франції — 34,2% проти середнього по портфелю 37,8% та найкращого показника Канади 46,8%.</w:t>
      </w:r>
    </w:p>
    <w:p>
      <w:pPr>
        <w:spacing w:after="60" w:before="60"/>
      </w:pPr>
      <w:r>
        <w:rPr>
          <w:rFonts w:ascii="Arial" w:cs="Arial" w:eastAsia="Arial" w:hAnsi="Arial"/>
          <w:color w:val="111827"/>
          <w:sz w:val="22"/>
          <w:szCs w:val="22"/>
        </w:rPr>
        <w:t xml:space="preserve">Рекомендація: Переглянути цінову політику і систему знижок у Франції починаючи з Q3, з особливою увагою до категорій Bikes/Clothing. Заходи з підвищення маржі у H2 наступного року.</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Модуль 3 — Експорт для Power BI (03_data_export_powerbi.ipynb)</w:t>
      </w:r>
    </w:p>
    <w:p>
      <w:pPr>
        <w:spacing w:after="60" w:before="60"/>
      </w:pPr>
      <w:r>
        <w:rPr>
          <w:rFonts w:ascii="Arial" w:cs="Arial" w:eastAsia="Arial" w:hAnsi="Arial"/>
          <w:color w:val="111827"/>
          <w:sz w:val="22"/>
          <w:szCs w:val="22"/>
        </w:rPr>
        <w:t xml:space="preserve">Дані трансформуються у зіркову схему (Star Schema) — стандартну архітектуру для Business Intelligence:</w:t>
      </w:r>
    </w:p>
    <w:p>
      <w:pPr>
        <w:spacing w:after="40" w:before="40"/>
      </w:pPr>
      <w:r>
        <w:t xml:space="preserve"/>
      </w:r>
    </w:p>
    <w:p>
      <w:pPr>
        <w:pStyle w:val="ListParagraph"/>
        <w:numPr>
          <w:ilvl w:val="0"/>
          <w:numId w:val="2"/>
        </w:numPr>
        <w:spacing w:after="40" w:before="40"/>
      </w:pPr>
      <w:r>
        <w:rPr>
          <w:rFonts w:ascii="Arial" w:cs="Arial" w:eastAsia="Arial" w:hAnsi="Arial"/>
          <w:color w:val="111827"/>
          <w:sz w:val="22"/>
          <w:szCs w:val="22"/>
        </w:rPr>
        <w:t xml:space="preserve">pbi_fact_sales — таблиця фактів: кожна транзакція з усіма вимірами (revenue, cost, profit, revenue_plan, order_quantity)</w:t>
      </w:r>
    </w:p>
    <w:p>
      <w:pPr>
        <w:pStyle w:val="ListParagraph"/>
        <w:numPr>
          <w:ilvl w:val="0"/>
          <w:numId w:val="2"/>
        </w:numPr>
        <w:spacing w:after="40" w:before="40"/>
      </w:pPr>
      <w:r>
        <w:rPr>
          <w:rFonts w:ascii="Arial" w:cs="Arial" w:eastAsia="Arial" w:hAnsi="Arial"/>
          <w:color w:val="111827"/>
          <w:sz w:val="22"/>
          <w:szCs w:val="22"/>
        </w:rPr>
        <w:t xml:space="preserve">pbi_dim_date — вимір часу: рік, місяць, квартал, year_month</w:t>
      </w:r>
    </w:p>
    <w:p>
      <w:pPr>
        <w:pStyle w:val="ListParagraph"/>
        <w:numPr>
          <w:ilvl w:val="0"/>
          <w:numId w:val="2"/>
        </w:numPr>
        <w:spacing w:after="40" w:before="40"/>
      </w:pPr>
      <w:r>
        <w:rPr>
          <w:rFonts w:ascii="Arial" w:cs="Arial" w:eastAsia="Arial" w:hAnsi="Arial"/>
          <w:color w:val="111827"/>
          <w:sz w:val="22"/>
          <w:szCs w:val="22"/>
        </w:rPr>
        <w:t xml:space="preserve">pbi_dim_product — вимір продукту: категорія і підкатегорія</w:t>
      </w:r>
    </w:p>
    <w:p>
      <w:pPr>
        <w:pStyle w:val="ListParagraph"/>
        <w:numPr>
          <w:ilvl w:val="0"/>
          <w:numId w:val="2"/>
        </w:numPr>
        <w:spacing w:after="40" w:before="40"/>
      </w:pPr>
      <w:r>
        <w:rPr>
          <w:rFonts w:ascii="Arial" w:cs="Arial" w:eastAsia="Arial" w:hAnsi="Arial"/>
          <w:color w:val="111827"/>
          <w:sz w:val="22"/>
          <w:szCs w:val="22"/>
        </w:rPr>
        <w:t xml:space="preserve">pbi_dim_geography — географічний вимір: країни (DE + EN назви)</w:t>
      </w:r>
    </w:p>
    <w:p>
      <w:pPr>
        <w:pStyle w:val="ListParagraph"/>
        <w:numPr>
          <w:ilvl w:val="0"/>
          <w:numId w:val="2"/>
        </w:numPr>
        <w:spacing w:after="40" w:before="40"/>
      </w:pPr>
      <w:r>
        <w:rPr>
          <w:rFonts w:ascii="Arial" w:cs="Arial" w:eastAsia="Arial" w:hAnsi="Arial"/>
          <w:color w:val="111827"/>
          <w:sz w:val="22"/>
          <w:szCs w:val="22"/>
        </w:rPr>
        <w:t xml:space="preserve">pbi_budget — таблиця бюджету: агреговані планові значення per year_month і категорія</w:t>
      </w:r>
    </w:p>
    <w:p>
      <w:pPr>
        <w:spacing w:after="40" w:before="40"/>
      </w:pPr>
      <w:r>
        <w:t xml:space="preserve"/>
      </w:r>
    </w:p>
    <w:p>
      <w:pPr>
        <w:spacing w:after="60" w:before="60"/>
      </w:pPr>
      <w:r>
        <w:rPr>
          <w:rFonts w:ascii="Arial" w:cs="Arial" w:eastAsia="Arial" w:hAnsi="Arial"/>
          <w:b/>
          <w:bCs/>
          <w:color w:val="111827"/>
          <w:sz w:val="22"/>
          <w:szCs w:val="22"/>
        </w:rPr>
        <w:t xml:space="preserve">Dashboard (3 сторінки):</w:t>
      </w:r>
    </w:p>
    <w:p>
      <w:pPr>
        <w:pStyle w:val="ListParagraph"/>
        <w:numPr>
          <w:ilvl w:val="0"/>
          <w:numId w:val="2"/>
        </w:numPr>
        <w:spacing w:after="40" w:before="40"/>
      </w:pPr>
      <w:r>
        <w:rPr>
          <w:rFonts w:ascii="Arial" w:cs="Arial" w:eastAsia="Arial" w:hAnsi="Arial"/>
          <w:color w:val="111827"/>
          <w:sz w:val="22"/>
          <w:szCs w:val="22"/>
        </w:rPr>
        <w:t xml:space="preserve">KPI Overview: загальний дохід, прибуток, маржа, відхилення від плану, графік Revenue vs. Profit по роках</w:t>
      </w:r>
    </w:p>
    <w:p>
      <w:pPr>
        <w:pStyle w:val="ListParagraph"/>
        <w:numPr>
          <w:ilvl w:val="0"/>
          <w:numId w:val="2"/>
        </w:numPr>
        <w:spacing w:after="40" w:before="40"/>
      </w:pPr>
      <w:r>
        <w:rPr>
          <w:rFonts w:ascii="Arial" w:cs="Arial" w:eastAsia="Arial" w:hAnsi="Arial"/>
          <w:color w:val="111827"/>
          <w:sz w:val="22"/>
          <w:szCs w:val="22"/>
        </w:rPr>
        <w:t xml:space="preserve">Plan-Ist Vergleich: відхилення по роках і країнах у вигляді waterfall-діаграми та таблиці</w:t>
      </w:r>
    </w:p>
    <w:p>
      <w:pPr>
        <w:pStyle w:val="ListParagraph"/>
        <w:numPr>
          <w:ilvl w:val="0"/>
          <w:numId w:val="2"/>
        </w:numPr>
        <w:spacing w:after="40" w:before="40"/>
      </w:pPr>
      <w:r>
        <w:rPr>
          <w:rFonts w:ascii="Arial" w:cs="Arial" w:eastAsia="Arial" w:hAnsi="Arial"/>
          <w:color w:val="111827"/>
          <w:sz w:val="22"/>
          <w:szCs w:val="22"/>
        </w:rPr>
        <w:t xml:space="preserve">Forecast: прогноз доходу на основі Rolling Forecast</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SAP Mock-документи (FB50 + F-02)</w:t>
      </w:r>
    </w:p>
    <w:p>
      <w:pPr>
        <w:spacing w:after="60" w:before="60"/>
      </w:pPr>
      <w:r>
        <w:rPr>
          <w:rFonts w:ascii="Arial" w:cs="Arial" w:eastAsia="Arial" w:hAnsi="Arial"/>
          <w:color w:val="111827"/>
          <w:sz w:val="22"/>
          <w:szCs w:val="22"/>
        </w:rPr>
        <w:t xml:space="preserve">Для демонстрації знання SAP-логіки створено два симульованих документи:</w:t>
      </w:r>
    </w:p>
    <w:p>
      <w:pPr>
        <w:spacing w:after="40" w:before="40"/>
      </w:pPr>
      <w:r>
        <w:t xml:space="preserve"/>
      </w:r>
    </w:p>
    <w:p>
      <w:pPr>
        <w:spacing w:after="60" w:before="60"/>
      </w:pPr>
      <w:r>
        <w:rPr>
          <w:rFonts w:ascii="Arial" w:cs="Arial" w:eastAsia="Arial" w:hAnsi="Arial"/>
          <w:b/>
          <w:bCs/>
          <w:color w:val="111827"/>
          <w:sz w:val="22"/>
          <w:szCs w:val="22"/>
        </w:rPr>
        <w:t xml:space="preserve">FB50 — Кредиторська бухгалтерія (Accounts Payable):</w:t>
      </w:r>
    </w:p>
    <w:p>
      <w:pPr>
        <w:pStyle w:val="ListParagraph"/>
        <w:numPr>
          <w:ilvl w:val="0"/>
          <w:numId w:val="2"/>
        </w:numPr>
        <w:spacing w:after="40" w:before="40"/>
      </w:pPr>
      <w:r>
        <w:rPr>
          <w:rFonts w:ascii="Arial" w:cs="Arial" w:eastAsia="Arial" w:hAnsi="Arial"/>
          <w:color w:val="111827"/>
          <w:sz w:val="22"/>
          <w:szCs w:val="22"/>
        </w:rPr>
        <w:t xml:space="preserve">Документ покупки для Q1 2016: Bikes/Accessories/Clothing за 3 країнами</w:t>
      </w:r>
    </w:p>
    <w:p>
      <w:pPr>
        <w:pStyle w:val="ListParagraph"/>
        <w:numPr>
          <w:ilvl w:val="0"/>
          <w:numId w:val="2"/>
        </w:numPr>
        <w:spacing w:after="40" w:before="40"/>
      </w:pPr>
      <w:r>
        <w:rPr>
          <w:rFonts w:ascii="Arial" w:cs="Arial" w:eastAsia="Arial" w:hAnsi="Arial"/>
          <w:color w:val="111827"/>
          <w:sz w:val="22"/>
          <w:szCs w:val="22"/>
        </w:rPr>
        <w:t xml:space="preserve">Ключ проводки 31 (Haben / Credit) = Кредитор, 40 (Soll / Debit) = Витрата (COGS)</w:t>
      </w:r>
    </w:p>
    <w:p>
      <w:pPr>
        <w:pStyle w:val="ListParagraph"/>
        <w:numPr>
          <w:ilvl w:val="0"/>
          <w:numId w:val="2"/>
        </w:numPr>
        <w:spacing w:after="40" w:before="40"/>
      </w:pPr>
      <w:r>
        <w:rPr>
          <w:rFonts w:ascii="Arial" w:cs="Arial" w:eastAsia="Arial" w:hAnsi="Arial"/>
          <w:color w:val="111827"/>
          <w:sz w:val="22"/>
          <w:szCs w:val="22"/>
        </w:rPr>
        <w:t xml:space="preserve">Нетто-принцип: ПДВ окремо</w:t>
      </w:r>
    </w:p>
    <w:p>
      <w:pPr>
        <w:spacing w:after="40" w:before="40"/>
      </w:pPr>
      <w:r>
        <w:t xml:space="preserve"/>
      </w:r>
    </w:p>
    <w:p>
      <w:pPr>
        <w:spacing w:after="60" w:before="60"/>
      </w:pPr>
      <w:r>
        <w:rPr>
          <w:rFonts w:ascii="Arial" w:cs="Arial" w:eastAsia="Arial" w:hAnsi="Arial"/>
          <w:b/>
          <w:bCs/>
          <w:color w:val="111827"/>
          <w:sz w:val="22"/>
          <w:szCs w:val="22"/>
        </w:rPr>
        <w:t xml:space="preserve">F-02 — Головна книга (General Ledger):</w:t>
      </w:r>
    </w:p>
    <w:p>
      <w:pPr>
        <w:pStyle w:val="ListParagraph"/>
        <w:numPr>
          <w:ilvl w:val="0"/>
          <w:numId w:val="2"/>
        </w:numPr>
        <w:spacing w:after="40" w:before="40"/>
      </w:pPr>
      <w:r>
        <w:rPr>
          <w:rFonts w:ascii="Arial" w:cs="Arial" w:eastAsia="Arial" w:hAnsi="Arial"/>
          <w:color w:val="111827"/>
          <w:sz w:val="22"/>
          <w:szCs w:val="22"/>
        </w:rPr>
        <w:t xml:space="preserve">Ручне закриття: Revenue + COGS + OpEx</w:t>
      </w:r>
    </w:p>
    <w:p>
      <w:pPr>
        <w:pStyle w:val="ListParagraph"/>
        <w:numPr>
          <w:ilvl w:val="0"/>
          <w:numId w:val="2"/>
        </w:numPr>
        <w:spacing w:after="40" w:before="40"/>
      </w:pPr>
      <w:r>
        <w:rPr>
          <w:rFonts w:ascii="Arial" w:cs="Arial" w:eastAsia="Arial" w:hAnsi="Arial"/>
          <w:color w:val="111827"/>
          <w:sz w:val="22"/>
          <w:szCs w:val="22"/>
        </w:rPr>
        <w:t xml:space="preserve">Дебет = Кредит = 35 290 EUR (збалансовано / ausgeglichen)</w:t>
      </w:r>
    </w:p>
    <w:p>
      <w:pPr>
        <w:pStyle w:val="ListParagraph"/>
        <w:numPr>
          <w:ilvl w:val="0"/>
          <w:numId w:val="2"/>
        </w:numPr>
        <w:spacing w:after="40" w:before="40"/>
      </w:pPr>
      <w:r>
        <w:rPr>
          <w:rFonts w:ascii="Arial" w:cs="Arial" w:eastAsia="Arial" w:hAnsi="Arial"/>
          <w:color w:val="111827"/>
          <w:sz w:val="22"/>
          <w:szCs w:val="22"/>
        </w:rPr>
        <w:t xml:space="preserve">План рахунків: 1xxxxxx=Активи, 2xxxxxx=Пасиви, 4xxxxxx=Доходи, 5xxxxxx=COGS, 6xxxxxx=OpEx</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40"/>
              <w:left w:type="dxa" w:w="240"/>
              <w:bottom w:type="dxa" w:w="140"/>
              <w:right w:type="dxa" w:w="240"/>
            </w:tcMar>
          </w:tcPr>
          <w:p>
            <w:r>
              <w:rPr>
                <w:rFonts w:ascii="Arial" w:cs="Arial" w:eastAsia="Arial" w:hAnsi="Arial"/>
                <w:b/>
                <w:bCs/>
                <w:color w:val="FFFFFF"/>
                <w:sz w:val="30"/>
                <w:szCs w:val="30"/>
              </w:rPr>
              <w:t xml:space="preserve">🇩🇪  DEUTSCHE VERSION</w:t>
            </w:r>
          </w:p>
        </w:tc>
      </w:tr>
    </w:tbl>
    <w:p>
      <w:pPr>
        <w:spacing w:after="40" w:before="40"/>
      </w:pPr>
      <w:r>
        <w:t xml:space="preserve"/>
      </w:r>
    </w:p>
    <w:p>
      <w:pPr>
        <w:pStyle w:val="Heading1"/>
        <w:spacing w:after="160" w:before="320"/>
      </w:pPr>
      <w:r>
        <w:rPr>
          <w:rFonts w:ascii="Arial" w:cs="Arial" w:eastAsia="Arial" w:hAnsi="Arial"/>
          <w:b/>
          <w:bCs/>
          <w:color w:val="1D3557"/>
          <w:sz w:val="36"/>
          <w:szCs w:val="36"/>
        </w:rPr>
        <w:t xml:space="preserve">1. Was ist dieses Projekt?</w:t>
      </w:r>
    </w:p>
    <w:p>
      <w:pPr>
        <w:spacing w:after="60" w:before="60"/>
      </w:pPr>
      <w:r>
        <w:rPr>
          <w:rFonts w:ascii="Arial" w:cs="Arial" w:eastAsia="Arial" w:hAnsi="Arial"/>
          <w:color w:val="111827"/>
          <w:sz w:val="22"/>
          <w:szCs w:val="22"/>
        </w:rPr>
        <w:t xml:space="preserve">RetailCo Financial Analysis ist ein Portfolio-Projekt, das den vollständigen Finanzprozess eines realen Einzelhandelsunternehmens simuliert. Grundlage ist der Datensatz Bike Sales in Europe (Kaggle, Autor: Sadiq Shah) mit 113.036 Transaktionen aus den Jahren 2011–2016 über 6 Länder: Australien, Kanada, Frankreich, Deutschland, Vereinigtes Königreich und USA.</w:t>
      </w:r>
    </w:p>
    <w:p>
      <w:pPr>
        <w:spacing w:after="40" w:before="40"/>
      </w:pPr>
      <w:r>
        <w:t xml:space="preserve"/>
      </w:r>
    </w:p>
    <w:p>
      <w:pPr>
        <w:spacing w:after="60" w:before="60"/>
      </w:pPr>
      <w:r>
        <w:rPr>
          <w:rFonts w:ascii="Arial" w:cs="Arial" w:eastAsia="Arial" w:hAnsi="Arial"/>
          <w:color w:val="111827"/>
          <w:sz w:val="22"/>
          <w:szCs w:val="22"/>
        </w:rPr>
        <w:t xml:space="preserve">Das Projekt umfasst 4 Module — von der Rohdatenaufbereitung bis zum interaktiven Power BI Dashboard — und demonstriert Fähigkeiten, die für Positionen in Accounting und Controlling in einem internationalen Handelsunternehmen wie BAUHAUS direkt relevant sind.</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Gesamtkennzahlen des Projekts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tcPr>
          <w:p>
            <w:r>
              <w:rPr>
                <w:rFonts w:ascii="Arial" w:cs="Arial" w:eastAsia="Arial" w:hAnsi="Arial"/>
                <w:b/>
                <w:bCs/>
                <w:color w:val="FFFFFF"/>
                <w:sz w:val="20"/>
                <w:szCs w:val="20"/>
              </w:rPr>
              <w:t xml:space="preserve">Kennzahl</w:t>
            </w:r>
          </w:p>
        </w:tc>
        <w:tc>
          <w:tcPr>
            <w:tcW w:type="dxa" w:w="234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tcPr>
          <w:p>
            <w:r>
              <w:rPr>
                <w:rFonts w:ascii="Arial" w:cs="Arial" w:eastAsia="Arial" w:hAnsi="Arial"/>
                <w:b/>
                <w:bCs/>
                <w:color w:val="FFFFFF"/>
                <w:sz w:val="20"/>
                <w:szCs w:val="20"/>
              </w:rPr>
              <w:t xml:space="preserve">Wert</w:t>
            </w:r>
          </w:p>
        </w:tc>
        <w:tc>
          <w:tcPr>
            <w:tcW w:type="dxa" w:w="234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tcPr>
          <w:p>
            <w:r>
              <w:rPr>
                <w:rFonts w:ascii="Arial" w:cs="Arial" w:eastAsia="Arial" w:hAnsi="Arial"/>
                <w:b/>
                <w:bCs/>
                <w:color w:val="FFFFFF"/>
                <w:sz w:val="20"/>
                <w:szCs w:val="20"/>
              </w:rPr>
              <w:t xml:space="preserve">Bewertung</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111827"/>
                <w:sz w:val="20"/>
                <w:szCs w:val="20"/>
              </w:rPr>
              <w:t xml:space="preserve">Gesamtumsatz / Total Revenue</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85,27 Mio. USD</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4B5563"/>
                <w:sz w:val="20"/>
                <w:szCs w:val="20"/>
              </w:rPr>
              <w:t xml:space="preserve">6 Jahre, 113.036 Transaktionen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Gesamtgewinn / Gross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32,22 Mio. USD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B5563"/>
                <w:sz w:val="20"/>
                <w:szCs w:val="20"/>
              </w:rPr>
              <w:t xml:space="preserve">Marge insgesamt stabil</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111827"/>
                <w:sz w:val="20"/>
                <w:szCs w:val="20"/>
              </w:rPr>
              <w:t xml:space="preserve">Bruttomarge / Gross Margin %</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37,79 %</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4B5563"/>
                <w:sz w:val="20"/>
                <w:szCs w:val="20"/>
              </w:rPr>
              <w:t xml:space="preserve">Knapp unter Zielwert 38 % (gelb)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Plan-Abweichung / Budget Var.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-0,05 %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B5563"/>
                <w:sz w:val="20"/>
                <w:szCs w:val="20"/>
              </w:rPr>
              <w:t xml:space="preserve">Nahezu plankonform (grün)</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111827"/>
                <w:sz w:val="20"/>
                <w:szCs w:val="20"/>
              </w:rPr>
              <w:t xml:space="preserve">Stärkste Kategorie / Top Category</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Accessories</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4B5563"/>
                <w:sz w:val="20"/>
                <w:szCs w:val="20"/>
              </w:rPr>
              <w:t xml:space="preserve">DB-Quote: 58,6 %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Stärkstes Land / Top Country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USA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B5563"/>
                <w:sz w:val="20"/>
                <w:szCs w:val="20"/>
              </w:rPr>
              <w:t xml:space="preserve">27,98 Mio. USD Umsatz</w:t>
            </w:r>
          </w:p>
        </w:tc>
      </w:tr>
    </w:tbl>
    <w:p>
      <w:pPr>
        <w:spacing w:after="40" w:before="40"/>
      </w:pPr>
      <w:r>
        <w:t xml:space="preserve"/>
      </w:r>
    </w:p>
    <w:p>
      <w:pPr>
        <w:pStyle w:val="Heading1"/>
        <w:spacing w:after="160" w:before="320"/>
      </w:pPr>
      <w:r>
        <w:rPr>
          <w:rFonts w:ascii="Arial" w:cs="Arial" w:eastAsia="Arial" w:hAnsi="Arial"/>
          <w:b/>
          <w:bCs/>
          <w:color w:val="1D3557"/>
          <w:sz w:val="36"/>
          <w:szCs w:val="36"/>
        </w:rPr>
        <w:t xml:space="preserve">2. Projektstruktur — 4 Module</w:t>
      </w:r>
    </w:p>
    <w:p>
      <w:pPr>
        <w:pStyle w:val="Heading2"/>
        <w:spacing w:after="120" w:before="240"/>
      </w:pPr>
      <w:r>
        <w:rPr>
          <w:rFonts w:ascii="Arial" w:cs="Arial" w:eastAsia="Arial" w:hAnsi="Arial"/>
          <w:b/>
          <w:bCs/>
          <w:color w:val="1D3557"/>
          <w:sz w:val="28"/>
          <w:szCs w:val="28"/>
        </w:rPr>
        <w:t xml:space="preserve">Modul 0 — Datenvorbereitung (00_data_preparation.ipynb)</w:t>
      </w:r>
    </w:p>
    <w:p>
      <w:pPr>
        <w:spacing w:after="60" w:before="60"/>
      </w:pPr>
      <w:r>
        <w:rPr>
          <w:rFonts w:ascii="Arial" w:cs="Arial" w:eastAsia="Arial" w:hAnsi="Arial"/>
          <w:color w:val="111827"/>
          <w:sz w:val="22"/>
          <w:szCs w:val="22"/>
        </w:rPr>
        <w:t xml:space="preserve">Hier wird der Rohdatensatz in einen analysierbaren Zustand überführt. Alle Spaltennamen werden vereinheitlicht, Datentypen korrigiert und neue Analysespalten berechnet.</w:t>
      </w:r>
    </w:p>
    <w:p>
      <w:pPr>
        <w:spacing w:after="40" w:before="40"/>
      </w:pPr>
      <w:r>
        <w:t xml:space="preserve"/>
      </w:r>
    </w:p>
    <w:p>
      <w:pPr>
        <w:spacing w:after="60" w:before="60"/>
      </w:pPr>
      <w:r>
        <w:rPr>
          <w:rFonts w:ascii="Arial" w:cs="Arial" w:eastAsia="Arial" w:hAnsi="Arial"/>
          <w:b/>
          <w:bCs/>
          <w:color w:val="111827"/>
          <w:sz w:val="22"/>
          <w:szCs w:val="22"/>
        </w:rPr>
        <w:t xml:space="preserve">Neue Spalten und ihre Bedeutung:</w:t>
      </w:r>
    </w:p>
    <w:p>
      <w:pPr>
        <w:pStyle w:val="ListParagraph"/>
        <w:numPr>
          <w:ilvl w:val="0"/>
          <w:numId w:val="2"/>
        </w:numPr>
        <w:spacing w:after="40" w:before="40"/>
      </w:pPr>
      <w:r>
        <w:rPr>
          <w:rFonts w:ascii="Arial" w:cs="Arial" w:eastAsia="Arial" w:hAnsi="Arial"/>
          <w:color w:val="111827"/>
          <w:sz w:val="22"/>
          <w:szCs w:val="22"/>
        </w:rPr>
        <w:t xml:space="preserve">year_month — Periodenkennung (z. B. 2015-07). Wird für den Monatsabschluss und die GuV-Aggregation verwendet (df['date'].dt.to_period('M')).</w:t>
      </w:r>
    </w:p>
    <w:p>
      <w:pPr>
        <w:pStyle w:val="ListParagraph"/>
        <w:numPr>
          <w:ilvl w:val="0"/>
          <w:numId w:val="2"/>
        </w:numPr>
        <w:spacing w:after="40" w:before="40"/>
      </w:pPr>
      <w:r>
        <w:rPr>
          <w:rFonts w:ascii="Arial" w:cs="Arial" w:eastAsia="Arial" w:hAnsi="Arial"/>
          <w:color w:val="111827"/>
          <w:sz w:val="22"/>
          <w:szCs w:val="22"/>
        </w:rPr>
        <w:t xml:space="preserve">quarter — Quartalskennzeichen (Q1–Q4). Basis für den quartalsweisen Plan-Ist-Vergleich.</w:t>
      </w:r>
    </w:p>
    <w:p>
      <w:pPr>
        <w:pStyle w:val="ListParagraph"/>
        <w:numPr>
          <w:ilvl w:val="0"/>
          <w:numId w:val="2"/>
        </w:numPr>
        <w:spacing w:after="40" w:before="40"/>
      </w:pPr>
      <w:r>
        <w:rPr>
          <w:rFonts w:ascii="Arial" w:cs="Arial" w:eastAsia="Arial" w:hAnsi="Arial"/>
          <w:color w:val="111827"/>
          <w:sz w:val="22"/>
          <w:szCs w:val="22"/>
        </w:rPr>
        <w:t xml:space="preserve">fiscal_year — Geschäftsjahr. Grundlage für den Jahresabschluss und YoY-Vergleiche.</w:t>
      </w:r>
    </w:p>
    <w:p>
      <w:pPr>
        <w:pStyle w:val="ListParagraph"/>
        <w:numPr>
          <w:ilvl w:val="0"/>
          <w:numId w:val="2"/>
        </w:numPr>
        <w:spacing w:after="40" w:before="40"/>
      </w:pPr>
      <w:r>
        <w:rPr>
          <w:rFonts w:ascii="Arial" w:cs="Arial" w:eastAsia="Arial" w:hAnsi="Arial"/>
          <w:color w:val="111827"/>
          <w:sz w:val="22"/>
          <w:szCs w:val="22"/>
        </w:rPr>
        <w:t xml:space="preserve">gross_margin_pct = profit / revenue × 100 — Bruttomarge in Prozent. Zeigt, wie viel Prozent des Umsatzes als Bruttoergebnis verbleiben.</w:t>
      </w:r>
    </w:p>
    <w:p>
      <w:pPr>
        <w:pStyle w:val="ListParagraph"/>
        <w:numPr>
          <w:ilvl w:val="0"/>
          <w:numId w:val="2"/>
        </w:numPr>
        <w:spacing w:after="40" w:before="40"/>
      </w:pPr>
      <w:r>
        <w:rPr>
          <w:rFonts w:ascii="Arial" w:cs="Arial" w:eastAsia="Arial" w:hAnsi="Arial"/>
          <w:color w:val="111827"/>
          <w:sz w:val="22"/>
          <w:szCs w:val="22"/>
        </w:rPr>
        <w:t xml:space="preserve">revenue_plan = revenue × (1 ± 12 %) — Simulierte Planwerte mit np.random.seed(42) für Reproduzierbarkeit. Standard-Methode im Controlling, wenn kein Budget-Datensatz vorliegt.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gross_margin_pct  = (profit / revenue) × 100</w:t>
            </w:r>
          </w:p>
          <w:p>
            <w:pPr>
              <w:spacing w:after="30" w:before="30"/>
            </w:pPr>
            <w:r>
              <w:rPr>
                <w:rFonts w:ascii="Courier New" w:cs="Courier New" w:eastAsia="Courier New" w:hAnsi="Courier New"/>
                <w:color w:val="1D3557"/>
                <w:sz w:val="20"/>
                <w:szCs w:val="20"/>
              </w:rPr>
              <w:t xml:space="preserve">revenue_plan      = revenue × (1 + uniform(-0,12 ; +0,12))</w:t>
            </w:r>
          </w:p>
          <w:p>
            <w:pPr>
              <w:spacing w:after="30" w:before="30"/>
            </w:pPr>
            <w:r>
              <w:rPr>
                <w:rFonts w:ascii="Courier New" w:cs="Courier New" w:eastAsia="Courier New" w:hAnsi="Courier New"/>
                <w:color w:val="1D3557"/>
                <w:sz w:val="20"/>
                <w:szCs w:val="20"/>
              </w:rPr>
              <w:t xml:space="preserve">revenue_var_abs   = revenue − revenue_plan</w:t>
            </w:r>
          </w:p>
          <w:p>
            <w:pPr>
              <w:spacing w:after="30" w:before="30"/>
            </w:pPr>
            <w:r>
              <w:rPr>
                <w:rFonts w:ascii="Courier New" w:cs="Courier New" w:eastAsia="Courier New" w:hAnsi="Courier New"/>
                <w:color w:val="1D3557"/>
                <w:sz w:val="20"/>
                <w:szCs w:val="20"/>
              </w:rPr>
              <w:t xml:space="preserve">revenue_var_pct   = revenue_var_abs / revenue_plan × 100</w:t>
            </w:r>
          </w:p>
          <w:p>
            <w:pPr>
              <w:spacing w:after="30" w:before="30"/>
            </w:pPr>
            <w:r>
              <w:rPr>
                <w:rFonts w:ascii="Courier New" w:cs="Courier New" w:eastAsia="Courier New" w:hAnsi="Courier New"/>
                <w:color w:val="1D3557"/>
                <w:sz w:val="20"/>
                <w:szCs w:val="20"/>
              </w:rPr>
              <w:t xml:space="preserve">cost_plan         = cost × (1 + variation × 0,8)</w:t>
            </w:r>
          </w:p>
          <w:p>
            <w:pPr>
              <w:spacing w:after="30" w:before="30"/>
            </w:pPr>
            <w:r>
              <w:rPr>
                <w:rFonts w:ascii="Courier New" w:cs="Courier New" w:eastAsia="Courier New" w:hAnsi="Courier New"/>
                <w:color w:val="1D3557"/>
                <w:sz w:val="20"/>
                <w:szCs w:val="20"/>
              </w:rPr>
              <w:t xml:space="preserve">profit_plan       = revenue_plan − cost_plan</w:t>
            </w:r>
          </w:p>
        </w:tc>
      </w:tr>
    </w:tbl>
    <w:p>
      <w:pPr>
        <w:spacing w:after="40" w:before="40"/>
      </w:pPr>
      <w:r>
        <w:t xml:space="preserve"/>
      </w:r>
    </w:p>
    <w:p>
      <w:pPr>
        <w:pStyle w:val="Heading2"/>
        <w:spacing w:after="120" w:before="240"/>
      </w:pPr>
      <w:r>
        <w:rPr>
          <w:rFonts w:ascii="Arial" w:cs="Arial" w:eastAsia="Arial" w:hAnsi="Arial"/>
          <w:b/>
          <w:bCs/>
          <w:color w:val="1D3557"/>
          <w:sz w:val="28"/>
          <w:szCs w:val="28"/>
        </w:rPr>
        <w:t xml:space="preserve">Modul 1 — Accounting: Monatsabschluss (01_accounting_closing.ipynb)</w:t>
      </w:r>
    </w:p>
    <w:p>
      <w:pPr>
        <w:spacing w:after="60" w:before="60"/>
      </w:pPr>
      <w:r>
        <w:rPr>
          <w:rFonts w:ascii="Arial" w:cs="Arial" w:eastAsia="Arial" w:hAnsi="Arial"/>
          <w:color w:val="111827"/>
          <w:sz w:val="22"/>
          <w:szCs w:val="22"/>
        </w:rPr>
        <w:t xml:space="preserve">Der Monatsabschluss ist der Kernprozess im Rechnungswesen. Er stellt sicher, dass alle wirtschaftlichen Vorgänge einer Periode vollständig und korrekt erfasst, bewertet und ausgewiesen werden. Im Projekt wurde er nach dem Working-Day-Prinzip (WD-Logik) strukturiert.</w:t>
      </w:r>
    </w:p>
    <w:p>
      <w:pPr>
        <w:spacing w:after="40" w:before="40"/>
      </w:pPr>
      <w:r>
        <w:t xml:space="preserve"/>
      </w:r>
    </w:p>
    <w:p>
      <w:pPr>
        <w:spacing w:after="60" w:before="60"/>
      </w:pPr>
      <w:r>
        <w:rPr>
          <w:rFonts w:ascii="Arial" w:cs="Arial" w:eastAsia="Arial" w:hAnsi="Arial"/>
          <w:b/>
          <w:bCs/>
          <w:color w:val="111827"/>
          <w:sz w:val="22"/>
          <w:szCs w:val="22"/>
        </w:rPr>
        <w:t xml:space="preserve">Gewinn- und Verlustrechnung (GuV /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 Umsatzerlöse (Revenue)                 = Summe aller Transaktionsumsätze je Monat</w:t>
            </w:r>
          </w:p>
          <w:p>
            <w:pPr>
              <w:spacing w:after="30" w:before="30"/>
            </w:pPr>
            <w:r>
              <w:rPr>
                <w:rFonts w:ascii="Courier New" w:cs="Courier New" w:eastAsia="Courier New" w:hAnsi="Courier New"/>
                <w:color w:val="1D3557"/>
                <w:sz w:val="20"/>
                <w:szCs w:val="20"/>
              </w:rPr>
              <w:t xml:space="preserve">(−) Umsatzkosten / COGS                    = Summe aller Transaktionskosten je Monat</w:t>
            </w:r>
          </w:p>
          <w:p>
            <w:pPr>
              <w:spacing w:after="30" w:before="30"/>
            </w:pPr>
            <w:r>
              <w:rPr>
                <w:rFonts w:ascii="Courier New" w:cs="Courier New" w:eastAsia="Courier New" w:hAnsi="Courier New"/>
                <w:color w:val="1D3557"/>
                <w:sz w:val="20"/>
                <w:szCs w:val="20"/>
              </w:rPr>
              <w:t xml:space="preserve">(=) Bruttoergebnis / Gross Profit           = Revenue − COGS</w:t>
            </w:r>
          </w:p>
          <w:p>
            <w:pPr>
              <w:spacing w:after="30" w:before="30"/>
            </w:pPr>
            <w:r>
              <w:rPr>
                <w:rFonts w:ascii="Courier New" w:cs="Courier New" w:eastAsia="Courier New" w:hAnsi="Courier New"/>
                <w:color w:val="1D3557"/>
                <w:sz w:val="20"/>
                <w:szCs w:val="20"/>
              </w:rPr>
              <w:t xml:space="preserve">    Bruttomarge % / Gross Margin %          = Bruttoergebnis / Umsatz × 100</w:t>
            </w:r>
          </w:p>
          <w:p>
            <w:pPr>
              <w:spacing w:after="30" w:before="30"/>
            </w:pPr>
            <w:r>
              <w:rPr>
                <w:rFonts w:ascii="Courier New" w:cs="Courier New" w:eastAsia="Courier New" w:hAnsi="Courier New"/>
                <w:color w:val="1D3557"/>
                <w:sz w:val="20"/>
                <w:szCs w:val="20"/>
              </w:rPr>
              <w:t xml:space="preserve"/>
            </w:r>
          </w:p>
          <w:p>
            <w:pPr>
              <w:spacing w:after="30" w:before="30"/>
            </w:pPr>
            <w:r>
              <w:rPr>
                <w:rFonts w:ascii="Courier New" w:cs="Courier New" w:eastAsia="Courier New" w:hAnsi="Courier New"/>
                <w:color w:val="1D3557"/>
                <w:sz w:val="20"/>
                <w:szCs w:val="20"/>
              </w:rPr>
              <w:t xml:space="preserve">    Abweichung absolut (Var.abs)            = Ist − Plan</w:t>
            </w:r>
          </w:p>
          <w:p>
            <w:pPr>
              <w:spacing w:after="30" w:before="30"/>
            </w:pPr>
            <w:r>
              <w:rPr>
                <w:rFonts w:ascii="Courier New" w:cs="Courier New" w:eastAsia="Courier New" w:hAnsi="Courier New"/>
                <w:color w:val="1D3557"/>
                <w:sz w:val="20"/>
                <w:szCs w:val="20"/>
              </w:rPr>
              <w:t xml:space="preserve">    Abweichung % (Var.%)                    = (Ist − Plan) / Plan × 100</w:t>
            </w:r>
          </w:p>
          <w:p>
            <w:pPr>
              <w:spacing w:after="30" w:before="30"/>
            </w:pPr>
            <w:r>
              <w:rPr>
                <w:rFonts w:ascii="Courier New" w:cs="Courier New" w:eastAsia="Courier New" w:hAnsi="Courier New"/>
                <w:color w:val="1D3557"/>
                <w:sz w:val="20"/>
                <w:szCs w:val="20"/>
              </w:rPr>
              <w:t xml:space="preserve">    RAG: &gt;= +3% =&gt; Grün | &gt;= -3% =&gt; Amber | &lt; -3% =&gt; Rot</w:t>
            </w:r>
          </w:p>
        </w:tc>
      </w:tr>
    </w:tbl>
    <w:p>
      <w:pPr>
        <w:spacing w:after="40" w:before="40"/>
      </w:pPr>
      <w:r>
        <w:t xml:space="preserve"/>
      </w:r>
    </w:p>
    <w:p>
      <w:pPr>
        <w:spacing w:after="60" w:before="60"/>
      </w:pPr>
      <w:r>
        <w:rPr>
          <w:rFonts w:ascii="Arial" w:cs="Arial" w:eastAsia="Arial" w:hAnsi="Arial"/>
          <w:b/>
          <w:bCs/>
          <w:color w:val="111827"/>
          <w:sz w:val="22"/>
          <w:szCs w:val="22"/>
        </w:rPr>
        <w:t xml:space="preserve">Rechnungsabgrenzungsposten (RAP / Accruals):</w:t>
      </w:r>
    </w:p>
    <w:p>
      <w:pPr>
        <w:spacing w:after="60" w:before="60"/>
      </w:pPr>
      <w:r>
        <w:rPr>
          <w:rFonts w:ascii="Arial" w:cs="Arial" w:eastAsia="Arial" w:hAnsi="Arial"/>
          <w:color w:val="111827"/>
          <w:sz w:val="22"/>
          <w:szCs w:val="22"/>
        </w:rPr>
        <w:t xml:space="preserve">Das Periodenabgrenzungsprinzip (§ 250 HGB, IFRS Matching Principle) stellt sicher, dass Erträge und Aufwendungen der wirtschaftlich zugehörigen Periode zugeordnet werden — unabhängig vom Zahlungsfluss.</w:t>
      </w:r>
    </w:p>
    <w:p>
      <w:pPr>
        <w:spacing w:after="40" w:before="40"/>
      </w:pPr>
      <w:r>
        <w:t xml:space="preserve"/>
      </w:r>
    </w:p>
    <w:p>
      <w:pPr>
        <w:pStyle w:val="ListParagraph"/>
        <w:numPr>
          <w:ilvl w:val="0"/>
          <w:numId w:val="2"/>
        </w:numPr>
        <w:spacing w:after="40" w:before="40"/>
      </w:pPr>
      <w:r>
        <w:rPr>
          <w:rFonts w:ascii="Arial" w:cs="Arial" w:eastAsia="Arial" w:hAnsi="Arial"/>
          <w:color w:val="111827"/>
          <w:sz w:val="22"/>
          <w:szCs w:val="22"/>
        </w:rPr>
        <w:t xml:space="preserve">ARAP (Aktive Rechnungsabgrenzung / Prepaid Revenue): 5 % des Monatsumsatzes wird im Folgemonat fakturiert. Steht auf der Aktivseite der Bilanz. Effekt: Bereinigtes Ergebnis sinkt. Formel: ARAP = Umsatz × 5 %</w:t>
      </w:r>
    </w:p>
    <w:p>
      <w:pPr>
        <w:pStyle w:val="ListParagraph"/>
        <w:numPr>
          <w:ilvl w:val="0"/>
          <w:numId w:val="2"/>
        </w:numPr>
        <w:spacing w:after="40" w:before="40"/>
      </w:pPr>
      <w:r>
        <w:rPr>
          <w:rFonts w:ascii="Arial" w:cs="Arial" w:eastAsia="Arial" w:hAnsi="Arial"/>
          <w:color w:val="111827"/>
          <w:sz w:val="22"/>
          <w:szCs w:val="22"/>
        </w:rPr>
        <w:t xml:space="preserve">PRAP (Passive Rechnungsabgrenzung / Deferred Cost): 3 % der COGS betreffen die Folgeperiode. Steht auf der Passivseite der Bilanz. Effekt: Aufwand dieser Periode sinkt, Ergebnis steigt. Formel: PRAP = COGS × 3 %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ARAP                  = Umsatz_Ist × 5 %</w:t>
            </w:r>
          </w:p>
          <w:p>
            <w:pPr>
              <w:spacing w:after="30" w:before="30"/>
            </w:pPr>
            <w:r>
              <w:rPr>
                <w:rFonts w:ascii="Courier New" w:cs="Courier New" w:eastAsia="Courier New" w:hAnsi="Courier New"/>
                <w:color w:val="1D3557"/>
                <w:sz w:val="20"/>
                <w:szCs w:val="20"/>
              </w:rPr>
              <w:t xml:space="preserve">PRAP                  = COGS_Ist × 3 %</w:t>
            </w:r>
          </w:p>
          <w:p>
            <w:pPr>
              <w:spacing w:after="30" w:before="30"/>
            </w:pPr>
            <w:r>
              <w:rPr>
                <w:rFonts w:ascii="Courier New" w:cs="Courier New" w:eastAsia="Courier New" w:hAnsi="Courier New"/>
                <w:color w:val="1D3557"/>
                <w:sz w:val="20"/>
                <w:szCs w:val="20"/>
              </w:rPr>
              <w:t xml:space="preserve">Ergebnis_bereinigt    = Bruttoergebnis − ARAP + PRAP</w:t>
            </w:r>
          </w:p>
        </w:tc>
      </w:tr>
    </w:tbl>
    <w:p>
      <w:pPr>
        <w:spacing w:after="40" w:before="40"/>
      </w:pPr>
      <w:r>
        <w:t xml:space="preserve"/>
      </w:r>
    </w:p>
    <w:p>
      <w:pPr>
        <w:spacing w:after="60" w:before="60"/>
      </w:pPr>
      <w:r>
        <w:rPr>
          <w:rFonts w:ascii="Arial" w:cs="Arial" w:eastAsia="Arial" w:hAnsi="Arial"/>
          <w:b/>
          <w:bCs/>
          <w:color w:val="111827"/>
          <w:sz w:val="22"/>
          <w:szCs w:val="22"/>
        </w:rPr>
        <w:t xml:space="preserve">Closing Checklist (closing_checklist_v5.xlsx):</w:t>
      </w:r>
    </w:p>
    <w:p>
      <w:pPr>
        <w:spacing w:after="60" w:before="60"/>
      </w:pPr>
      <w:r>
        <w:rPr>
          <w:rFonts w:ascii="Arial" w:cs="Arial" w:eastAsia="Arial" w:hAnsi="Arial"/>
          <w:color w:val="111827"/>
          <w:sz w:val="22"/>
          <w:szCs w:val="22"/>
        </w:rPr>
        <w:t xml:space="preserve">Das Excel-Workbook enthält 5 Sheets: Closing Checklist (9 Aufgaben mit WD-Logik), Monthly P&amp;L (GuV mit lebendigen SUMIFS-Formeln), Annual Closing (Jahresabschluss 2011–2016), Accruals (ARAP/PRAP-Berechnung 2015), Raw Data Sample (300 Zeilen).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60"/>
        <w:gridCol w:w="2800"/>
        <w:gridCol w:w="2800"/>
      </w:tblGrid>
      <w:tr>
        <w:tc>
          <w:tcPr>
            <w:tcW w:type="dxa" w:w="1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 Day</w:t>
            </w:r>
          </w:p>
        </w:tc>
        <w:tc>
          <w:tcPr>
            <w:tcW w:type="dxa" w:w="2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Aufgabe</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Datenquelle</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Verantwortung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WD-3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Rohdaten prüfen (Vollständigkeit &amp; Qualität)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bike_sales_clean.csv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Buchhalter</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WD-2</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Umsatz- &amp; Kostenabstimmung (Reconciliation)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df['revenue'].sum() vs. monthly</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Buchhalter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WD-1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Rechnungsabgrenzung (ARAP/PRAP)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Modul 1, ARAP_RATE=0,05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Buchhalter</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WD-1</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Plan-Ist-Abgleich (Abw. % berechnen)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monthly['Umsatz_Abw_pct']</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Controller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WD-1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GuV erstellen (Monats-P&amp;L)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Sheet 'Monthly P&amp;L'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Controller</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WD 0</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Management Review / CFO Sign-off</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Abweichungskommentare</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CFO / Leitung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WD 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 an Stakeholder verteilen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management_summary.pdf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Controller</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WD+1</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Archivierung aller Belege &amp; Reports</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closing_checklist.xlsx</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Buchhalter</w:t>
            </w:r>
          </w:p>
        </w:tc>
      </w:tr>
    </w:tbl>
    <w:p>
      <w:pPr>
        <w:spacing w:after="40" w:before="40"/>
      </w:pPr>
      <w:r>
        <w:t xml:space="preserve"/>
      </w:r>
    </w:p>
    <w:p>
      <w:pPr>
        <w:pStyle w:val="Heading2"/>
        <w:spacing w:after="120" w:before="240"/>
      </w:pPr>
      <w:r>
        <w:rPr>
          <w:rFonts w:ascii="Arial" w:cs="Arial" w:eastAsia="Arial" w:hAnsi="Arial"/>
          <w:b/>
          <w:bCs/>
          <w:color w:val="1D3557"/>
          <w:sz w:val="28"/>
          <w:szCs w:val="28"/>
        </w:rPr>
        <w:t xml:space="preserve">Modul 2 — Controlling: Plan-Ist-Vergleich (02_controlling_plan_ist.ipynb)</w:t>
      </w:r>
    </w:p>
    <w:p>
      <w:pPr>
        <w:spacing w:after="60" w:before="60"/>
      </w:pPr>
      <w:r>
        <w:rPr>
          <w:rFonts w:ascii="Arial" w:cs="Arial" w:eastAsia="Arial" w:hAnsi="Arial"/>
          <w:color w:val="111827"/>
          <w:sz w:val="22"/>
          <w:szCs w:val="22"/>
        </w:rPr>
        <w:t xml:space="preserve">Controlling ist nicht nur Nachrechnen — es ist das Erklären von Abweichungen und das Ableiten von Steuerungsmaßnahmen. Dieses Modul bildet den vollständigen Controlling-Zyklus ab.</w:t>
      </w:r>
    </w:p>
    <w:p>
      <w:pPr>
        <w:spacing w:after="40" w:before="40"/>
      </w:pPr>
      <w:r>
        <w:t xml:space="preserve"/>
      </w:r>
    </w:p>
    <w:p>
      <w:pPr>
        <w:spacing w:after="60" w:before="60"/>
      </w:pPr>
      <w:r>
        <w:rPr>
          <w:rFonts w:ascii="Arial" w:cs="Arial" w:eastAsia="Arial" w:hAnsi="Arial"/>
          <w:b/>
          <w:bCs/>
          <w:color w:val="111827"/>
          <w:sz w:val="22"/>
          <w:szCs w:val="22"/>
        </w:rPr>
        <w:t xml:space="preserve">KPI-Dashboard — Steuerungskennzahlen: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Umsatz YoY %         = (Revenue_t − Revenue_{t-1}) / Revenue_{t-1} × 100</w:t>
            </w:r>
          </w:p>
          <w:p>
            <w:pPr>
              <w:spacing w:after="30" w:before="30"/>
            </w:pPr>
            <w:r>
              <w:rPr>
                <w:rFonts w:ascii="Courier New" w:cs="Courier New" w:eastAsia="Courier New" w:hAnsi="Courier New"/>
                <w:color w:val="1D3557"/>
                <w:sz w:val="20"/>
                <w:szCs w:val="20"/>
              </w:rPr>
              <w:t xml:space="preserve">Bruttomarge %        = Bruttoergebnis / Umsatz × 100</w:t>
            </w:r>
          </w:p>
          <w:p>
            <w:pPr>
              <w:spacing w:after="30" w:before="30"/>
            </w:pPr>
            <w:r>
              <w:rPr>
                <w:rFonts w:ascii="Courier New" w:cs="Courier New" w:eastAsia="Courier New" w:hAnsi="Courier New"/>
                <w:color w:val="1D3557"/>
                <w:sz w:val="20"/>
                <w:szCs w:val="20"/>
              </w:rPr>
              <w:t xml:space="preserve">DB (Deckungsbeitrag) = Umsatz − variable Kosten</w:t>
            </w:r>
          </w:p>
          <w:p>
            <w:pPr>
              <w:spacing w:after="30" w:before="30"/>
            </w:pPr>
            <w:r>
              <w:rPr>
                <w:rFonts w:ascii="Courier New" w:cs="Courier New" w:eastAsia="Courier New" w:hAnsi="Courier New"/>
                <w:color w:val="1D3557"/>
                <w:sz w:val="20"/>
                <w:szCs w:val="20"/>
              </w:rPr>
              <w:t xml:space="preserve">DB-Quote             = DB / Umsatz × 100</w:t>
            </w:r>
          </w:p>
          <w:p>
            <w:pPr>
              <w:spacing w:after="30" w:before="30"/>
            </w:pPr>
            <w:r>
              <w:rPr>
                <w:rFonts w:ascii="Courier New" w:cs="Courier New" w:eastAsia="Courier New" w:hAnsi="Courier New"/>
                <w:color w:val="1D3557"/>
                <w:sz w:val="20"/>
                <w:szCs w:val="20"/>
              </w:rPr>
              <w:t xml:space="preserve">Plan-Abweichung %    = (Ist − Plan) / Plan × 100</w:t>
            </w:r>
          </w:p>
        </w:tc>
      </w:tr>
    </w:tbl>
    <w:p>
      <w:pPr>
        <w:spacing w:after="40" w:before="40"/>
      </w:pPr>
      <w:r>
        <w:t xml:space="preserve"/>
      </w:r>
    </w:p>
    <w:p>
      <w:pPr>
        <w:spacing w:after="60" w:before="60"/>
      </w:pPr>
      <w:r>
        <w:rPr>
          <w:rFonts w:ascii="Arial" w:cs="Arial" w:eastAsia="Arial" w:hAnsi="Arial"/>
          <w:b/>
          <w:bCs/>
          <w:color w:val="111827"/>
          <w:sz w:val="22"/>
          <w:szCs w:val="22"/>
        </w:rPr>
        <w:t xml:space="preserve">Abweichungsanalyse — Preis- und Mengeneffekt:</w:t>
      </w:r>
    </w:p>
    <w:p>
      <w:pPr>
        <w:pStyle w:val="ListParagraph"/>
        <w:numPr>
          <w:ilvl w:val="0"/>
          <w:numId w:val="2"/>
        </w:numPr>
        <w:spacing w:after="40" w:before="40"/>
      </w:pPr>
      <w:r>
        <w:rPr>
          <w:rFonts w:ascii="Arial" w:cs="Arial" w:eastAsia="Arial" w:hAnsi="Arial"/>
          <w:color w:val="111827"/>
          <w:sz w:val="22"/>
          <w:szCs w:val="22"/>
        </w:rPr>
        <w:t xml:space="preserve">Preiseffekt: Erklärt, wie viel der Gesamtabweichung durch Preisunterschiede entsteht. Formel: (Ist-Preis − Plan-Preis) × Plan-Menge</w:t>
      </w:r>
    </w:p>
    <w:p>
      <w:pPr>
        <w:pStyle w:val="ListParagraph"/>
        <w:numPr>
          <w:ilvl w:val="0"/>
          <w:numId w:val="2"/>
        </w:numPr>
        <w:spacing w:after="40" w:before="40"/>
      </w:pPr>
      <w:r>
        <w:rPr>
          <w:rFonts w:ascii="Arial" w:cs="Arial" w:eastAsia="Arial" w:hAnsi="Arial"/>
          <w:color w:val="111827"/>
          <w:sz w:val="22"/>
          <w:szCs w:val="22"/>
        </w:rPr>
        <w:t xml:space="preserve">Mengeneffekt: Erklärt, wie viel durch Absatzmengenunterschiede entsteht. Formel: (Ist-Menge − Plan-Menge) × Plan-Preis</w:t>
      </w:r>
    </w:p>
    <w:p>
      <w:pPr>
        <w:pStyle w:val="ListParagraph"/>
        <w:numPr>
          <w:ilvl w:val="0"/>
          <w:numId w:val="2"/>
        </w:numPr>
        <w:spacing w:after="40" w:before="40"/>
      </w:pPr>
      <w:r>
        <w:rPr>
          <w:rFonts w:ascii="Arial" w:cs="Arial" w:eastAsia="Arial" w:hAnsi="Arial"/>
          <w:color w:val="111827"/>
          <w:sz w:val="22"/>
          <w:szCs w:val="22"/>
        </w:rPr>
        <w:t xml:space="preserve">Rolling Forecast: Prognose der nächsten Quartale auf Basis der letzten N Monate — ein klassisches Steuerungsinstrument im Controlling.</w:t>
      </w:r>
    </w:p>
    <w:p>
      <w:pPr>
        <w:spacing w:after="40" w:before="40"/>
      </w:pPr>
      <w:r>
        <w:t xml:space="preserve"/>
      </w:r>
    </w:p>
    <w:p>
      <w:pPr>
        <w:spacing w:after="60" w:before="60"/>
      </w:pPr>
      <w:r>
        <w:rPr>
          <w:rFonts w:ascii="Arial" w:cs="Arial" w:eastAsia="Arial" w:hAnsi="Arial"/>
          <w:b/>
          <w:bCs/>
          <w:color w:val="111827"/>
          <w:sz w:val="22"/>
          <w:szCs w:val="22"/>
        </w:rPr>
        <w:t xml:space="preserve">Business Insight — Frankreich:</w:t>
      </w:r>
    </w:p>
    <w:p>
      <w:pPr>
        <w:spacing w:after="60" w:before="60"/>
      </w:pPr>
      <w:r>
        <w:rPr>
          <w:rFonts w:ascii="Arial" w:cs="Arial" w:eastAsia="Arial" w:hAnsi="Arial"/>
          <w:color w:val="111827"/>
          <w:sz w:val="22"/>
          <w:szCs w:val="22"/>
        </w:rPr>
        <w:t xml:space="preserve">Frankreich weist mit -0,38 % die größte negative Plan-Abweichung aller Länder auf. Alle anderen Länder liegen zwischen -0,10 % und +0,07 %. Die Quartalsanalyse 2015 zeigt den Effekt deutlich:</w:t>
      </w:r>
    </w:p>
    <w:p>
      <w:pPr>
        <w:pStyle w:val="ListParagraph"/>
        <w:numPr>
          <w:ilvl w:val="0"/>
          <w:numId w:val="2"/>
        </w:numPr>
        <w:spacing w:after="40" w:before="40"/>
      </w:pPr>
      <w:r>
        <w:rPr>
          <w:rFonts w:ascii="Arial" w:cs="Arial" w:eastAsia="Arial" w:hAnsi="Arial"/>
          <w:color w:val="111827"/>
          <w:sz w:val="22"/>
          <w:szCs w:val="22"/>
        </w:rPr>
        <w:t xml:space="preserve">Q1 2015: +0,62 % über Plan</w:t>
      </w:r>
    </w:p>
    <w:p>
      <w:pPr>
        <w:pStyle w:val="ListParagraph"/>
        <w:numPr>
          <w:ilvl w:val="0"/>
          <w:numId w:val="2"/>
        </w:numPr>
        <w:spacing w:after="40" w:before="40"/>
      </w:pPr>
      <w:r>
        <w:rPr>
          <w:rFonts w:ascii="Arial" w:cs="Arial" w:eastAsia="Arial" w:hAnsi="Arial"/>
          <w:color w:val="111827"/>
          <w:sz w:val="22"/>
          <w:szCs w:val="22"/>
        </w:rPr>
        <w:t xml:space="preserve">Q2 2015: +0,03 % über Plan</w:t>
      </w:r>
    </w:p>
    <w:p>
      <w:pPr>
        <w:pStyle w:val="ListParagraph"/>
        <w:numPr>
          <w:ilvl w:val="0"/>
          <w:numId w:val="2"/>
        </w:numPr>
        <w:spacing w:after="40" w:before="40"/>
      </w:pPr>
      <w:r>
        <w:rPr>
          <w:rFonts w:ascii="Arial" w:cs="Arial" w:eastAsia="Arial" w:hAnsi="Arial"/>
          <w:color w:val="111827"/>
          <w:sz w:val="22"/>
          <w:szCs w:val="22"/>
        </w:rPr>
        <w:t xml:space="preserve">Q3 2015: -0,26 % unter Plan</w:t>
      </w:r>
    </w:p>
    <w:p>
      <w:pPr>
        <w:pStyle w:val="ListParagraph"/>
        <w:numPr>
          <w:ilvl w:val="0"/>
          <w:numId w:val="2"/>
        </w:numPr>
        <w:spacing w:after="40" w:before="40"/>
      </w:pPr>
      <w:r>
        <w:rPr>
          <w:rFonts w:ascii="Arial" w:cs="Arial" w:eastAsia="Arial" w:hAnsi="Arial"/>
          <w:color w:val="111827"/>
          <w:sz w:val="22"/>
          <w:szCs w:val="22"/>
        </w:rPr>
        <w:t xml:space="preserve">Q4 2015: -0,33 % unter Plan</w:t>
      </w:r>
    </w:p>
    <w:p>
      <w:pPr>
        <w:spacing w:after="60" w:before="60"/>
      </w:pPr>
      <w:r>
        <w:rPr>
          <w:rFonts w:ascii="Arial" w:cs="Arial" w:eastAsia="Arial" w:hAnsi="Arial"/>
          <w:color w:val="111827"/>
          <w:sz w:val="22"/>
          <w:szCs w:val="22"/>
        </w:rPr>
        <w:t xml:space="preserve">Zusätzlich liegt die Bruttomarge Frankreichs mit 34,2 % deutlich unter dem Portfoliodurchschnitt (37,8 %) und dem Bestland Kanada (46,8 %).</w:t>
      </w:r>
    </w:p>
    <w:p>
      <w:pPr>
        <w:spacing w:after="60" w:before="60"/>
      </w:pPr>
      <w:r>
        <w:rPr>
          <w:rFonts w:ascii="Arial" w:cs="Arial" w:eastAsia="Arial" w:hAnsi="Arial"/>
          <w:color w:val="111827"/>
          <w:sz w:val="22"/>
          <w:szCs w:val="22"/>
        </w:rPr>
        <w:t xml:space="preserve">Empfehlung: Überprüfung der Preisgestaltung und Rabattpolitik in Frankreich ab Q3, Fokus auf Kategorienmix Bikes/Clothing, Maßnahmen zur Margensteigerung im H2 des Folgejahres.</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Modul 3 — Power BI Datenexport (03_data_export_powerbi.ipynb)</w:t>
      </w:r>
    </w:p>
    <w:p>
      <w:pPr>
        <w:spacing w:after="60" w:before="60"/>
      </w:pPr>
      <w:r>
        <w:rPr>
          <w:rFonts w:ascii="Arial" w:cs="Arial" w:eastAsia="Arial" w:hAnsi="Arial"/>
          <w:color w:val="111827"/>
          <w:sz w:val="22"/>
          <w:szCs w:val="22"/>
        </w:rPr>
        <w:t xml:space="preserve">Die bereinigten Daten werden in ein Sternschema (Star Schema) überführt — die Standardarchitektur für Business Intelligence und Power BI-Datenmodelle.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60"/>
        <w:gridCol w:w="2800"/>
        <w:gridCol w:w="2800"/>
      </w:tblGrid>
      <w:tr>
        <w:tc>
          <w:tcPr>
            <w:tcW w:type="dxa" w:w="1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Tabelle</w:t>
            </w:r>
          </w:p>
        </w:tc>
        <w:tc>
          <w:tcPr>
            <w:tcW w:type="dxa" w:w="2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Typ</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Inhalt</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Verbindung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pbi_fact_sales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Faktentabelle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Jede Transaktion: revenue, cost, profit, revenue_plan, order_quantity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Fremdschlüssel zu allen Dims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pbi_dim_date</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Dimension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Datum, Jahr, Monat, Quartal, year_month</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 fact_sales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pbi_dim_product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Dimension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Produktkategorie und Unterkategorie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category/sub → fact_sales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pbi_dim_geography</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Dimension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Ländernamen DE + EN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country → fact_sales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pbi_budget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Budgettabelle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Aggregierte Planwerte je year_month &amp; Kategorie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year_month → dim_date</w:t>
            </w:r>
          </w:p>
        </w:tc>
      </w:tr>
    </w:tbl>
    <w:p>
      <w:pPr>
        <w:spacing w:after="40" w:before="40"/>
      </w:pPr>
      <w:r>
        <w:t xml:space="preserve"/>
      </w:r>
    </w:p>
    <w:p>
      <w:pPr>
        <w:pStyle w:val="Heading2"/>
        <w:spacing w:after="120" w:before="240"/>
      </w:pPr>
      <w:r>
        <w:rPr>
          <w:rFonts w:ascii="Arial" w:cs="Arial" w:eastAsia="Arial" w:hAnsi="Arial"/>
          <w:b/>
          <w:bCs/>
          <w:color w:val="1D3557"/>
          <w:sz w:val="28"/>
          <w:szCs w:val="28"/>
        </w:rPr>
        <w:t xml:space="preserve">SAP-Mock-Belege (FB50 + F-02)</w:t>
      </w:r>
    </w:p>
    <w:p>
      <w:pPr>
        <w:spacing w:after="60" w:before="60"/>
      </w:pPr>
      <w:r>
        <w:rPr>
          <w:rFonts w:ascii="Arial" w:cs="Arial" w:eastAsia="Arial" w:hAnsi="Arial"/>
          <w:color w:val="111827"/>
          <w:sz w:val="22"/>
          <w:szCs w:val="22"/>
        </w:rPr>
        <w:t xml:space="preserve">Zwei simulierte SAP-Buchungsbelege demonstrieren das Verständnis der SAP-Buchungslogik ohne realen Systemzugang:</w:t>
      </w:r>
    </w:p>
    <w:p>
      <w:pPr>
        <w:spacing w:after="40" w:before="40"/>
      </w:pPr>
      <w:r>
        <w:t xml:space="preserve"/>
      </w:r>
    </w:p>
    <w:p>
      <w:pPr>
        <w:spacing w:after="60" w:before="60"/>
      </w:pPr>
      <w:r>
        <w:rPr>
          <w:rFonts w:ascii="Arial" w:cs="Arial" w:eastAsia="Arial" w:hAnsi="Arial"/>
          <w:b/>
          <w:bCs/>
          <w:color w:val="111827"/>
          <w:sz w:val="22"/>
          <w:szCs w:val="22"/>
        </w:rPr>
        <w:t xml:space="preserve">FB50 — Kreditorenbuchhaltung (Accounts Payable):</w:t>
      </w:r>
    </w:p>
    <w:p>
      <w:pPr>
        <w:pStyle w:val="ListParagraph"/>
        <w:numPr>
          <w:ilvl w:val="0"/>
          <w:numId w:val="2"/>
        </w:numPr>
        <w:spacing w:after="40" w:before="40"/>
      </w:pPr>
      <w:r>
        <w:rPr>
          <w:rFonts w:ascii="Arial" w:cs="Arial" w:eastAsia="Arial" w:hAnsi="Arial"/>
          <w:color w:val="111827"/>
          <w:sz w:val="22"/>
          <w:szCs w:val="22"/>
        </w:rPr>
        <w:t xml:space="preserve">Q1 2016 Wareneinkauf: Bikes/Accessories/Clothing für Deutschland, Frankreich, UK</w:t>
      </w:r>
    </w:p>
    <w:p>
      <w:pPr>
        <w:pStyle w:val="ListParagraph"/>
        <w:numPr>
          <w:ilvl w:val="0"/>
          <w:numId w:val="2"/>
        </w:numPr>
        <w:spacing w:after="40" w:before="40"/>
      </w:pPr>
      <w:r>
        <w:rPr>
          <w:rFonts w:ascii="Arial" w:cs="Arial" w:eastAsia="Arial" w:hAnsi="Arial"/>
          <w:color w:val="111827"/>
          <w:sz w:val="22"/>
          <w:szCs w:val="22"/>
        </w:rPr>
        <w:t xml:space="preserve">Buchungsschlüssel: 31 (Haben / Credit = Kreditor), 40 (Soll / Debit = Aufwand/COGS)</w:t>
      </w:r>
    </w:p>
    <w:p>
      <w:pPr>
        <w:pStyle w:val="ListParagraph"/>
        <w:numPr>
          <w:ilvl w:val="0"/>
          <w:numId w:val="2"/>
        </w:numPr>
        <w:spacing w:after="40" w:before="40"/>
      </w:pPr>
      <w:r>
        <w:rPr>
          <w:rFonts w:ascii="Arial" w:cs="Arial" w:eastAsia="Arial" w:hAnsi="Arial"/>
          <w:color w:val="111827"/>
          <w:sz w:val="22"/>
          <w:szCs w:val="22"/>
        </w:rPr>
        <w:t xml:space="preserve">Nettoprinzip: MwSt. (V9 19 % / 20 %) wird separat ausgewiesen</w:t>
      </w:r>
    </w:p>
    <w:p>
      <w:pPr>
        <w:spacing w:after="40" w:before="40"/>
      </w:pPr>
      <w:r>
        <w:t xml:space="preserve"/>
      </w:r>
    </w:p>
    <w:p>
      <w:pPr>
        <w:spacing w:after="60" w:before="60"/>
      </w:pPr>
      <w:r>
        <w:rPr>
          <w:rFonts w:ascii="Arial" w:cs="Arial" w:eastAsia="Arial" w:hAnsi="Arial"/>
          <w:b/>
          <w:bCs/>
          <w:color w:val="111827"/>
          <w:sz w:val="22"/>
          <w:szCs w:val="22"/>
        </w:rPr>
        <w:t xml:space="preserve">F-02 — Hauptbuchhaltung (General Ledger Manual Entry):</w:t>
      </w:r>
    </w:p>
    <w:p>
      <w:pPr>
        <w:pStyle w:val="ListParagraph"/>
        <w:numPr>
          <w:ilvl w:val="0"/>
          <w:numId w:val="2"/>
        </w:numPr>
        <w:spacing w:after="40" w:before="40"/>
      </w:pPr>
      <w:r>
        <w:rPr>
          <w:rFonts w:ascii="Arial" w:cs="Arial" w:eastAsia="Arial" w:hAnsi="Arial"/>
          <w:color w:val="111827"/>
          <w:sz w:val="22"/>
          <w:szCs w:val="22"/>
        </w:rPr>
        <w:t xml:space="preserve">Manueller Abschlussbuchungssatz: Revenue + COGS + Operating Costs</w:t>
      </w:r>
    </w:p>
    <w:p>
      <w:pPr>
        <w:pStyle w:val="ListParagraph"/>
        <w:numPr>
          <w:ilvl w:val="0"/>
          <w:numId w:val="2"/>
        </w:numPr>
        <w:spacing w:after="40" w:before="40"/>
      </w:pPr>
      <w:r>
        <w:rPr>
          <w:rFonts w:ascii="Arial" w:cs="Arial" w:eastAsia="Arial" w:hAnsi="Arial"/>
          <w:color w:val="111827"/>
          <w:sz w:val="22"/>
          <w:szCs w:val="22"/>
        </w:rPr>
        <w:t xml:space="preserve">Soll = Haben = 35.290 EUR (ausgeglichen / balanced) — Grundprinzip der doppelten Buchführung</w:t>
      </w:r>
    </w:p>
    <w:p>
      <w:pPr>
        <w:pStyle w:val="ListParagraph"/>
        <w:numPr>
          <w:ilvl w:val="0"/>
          <w:numId w:val="2"/>
        </w:numPr>
        <w:spacing w:after="40" w:before="40"/>
      </w:pPr>
      <w:r>
        <w:rPr>
          <w:rFonts w:ascii="Arial" w:cs="Arial" w:eastAsia="Arial" w:hAnsi="Arial"/>
          <w:color w:val="111827"/>
          <w:sz w:val="22"/>
          <w:szCs w:val="22"/>
        </w:rPr>
        <w:t xml:space="preserve">Kontenplan: 1xxxxxx = Aktiva | 2xxxxxx = Passiva | 3xxxxxx = Bestand | 4xxxxxx = Umsatz | 5xxxxxx = COGS | 6xxxxxx = Betriebskosten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FB50 Buchungslogik:   Soll 40 (Aufwand/COGS) / Haben 31 (Verbindlichkeit/Kreditor)</w:t>
            </w:r>
          </w:p>
          <w:p>
            <w:pPr>
              <w:spacing w:after="30" w:before="30"/>
            </w:pPr>
            <w:r>
              <w:rPr>
                <w:rFonts w:ascii="Courier New" w:cs="Courier New" w:eastAsia="Courier New" w:hAnsi="Courier New"/>
                <w:color w:val="1D3557"/>
                <w:sz w:val="20"/>
                <w:szCs w:val="20"/>
              </w:rPr>
              <w:t xml:space="preserve">F-02 Buchungslogik:   Soll = Haben = 35.290 EUR</w:t>
            </w:r>
          </w:p>
          <w:p>
            <w:pPr>
              <w:spacing w:after="30" w:before="30"/>
            </w:pPr>
            <w:r>
              <w:rPr>
                <w:rFonts w:ascii="Courier New" w:cs="Courier New" w:eastAsia="Courier New" w:hAnsi="Courier New"/>
                <w:color w:val="1D3557"/>
                <w:sz w:val="20"/>
                <w:szCs w:val="20"/>
              </w:rPr>
              <w:t xml:space="preserve">Doppelte Buchführung: Jede Buchung berührt mind. 2 Konten (Soll + Haben ausgeglichen)</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40"/>
              <w:left w:type="dxa" w:w="240"/>
              <w:bottom w:type="dxa" w:w="140"/>
              <w:right w:type="dxa" w:w="240"/>
            </w:tcMar>
          </w:tcPr>
          <w:p>
            <w:r>
              <w:rPr>
                <w:rFonts w:ascii="Arial" w:cs="Arial" w:eastAsia="Arial" w:hAnsi="Arial"/>
                <w:b/>
                <w:bCs/>
                <w:color w:val="FFFFFF"/>
                <w:sz w:val="30"/>
                <w:szCs w:val="30"/>
              </w:rPr>
              <w:t xml:space="preserve">🇬🇧  ENGLISH VERSION</w:t>
            </w:r>
          </w:p>
        </w:tc>
      </w:tr>
    </w:tbl>
    <w:p>
      <w:pPr>
        <w:spacing w:after="40" w:before="40"/>
      </w:pPr>
      <w:r>
        <w:t xml:space="preserve"/>
      </w:r>
    </w:p>
    <w:p>
      <w:pPr>
        <w:pStyle w:val="Heading1"/>
        <w:spacing w:after="160" w:before="320"/>
      </w:pPr>
      <w:r>
        <w:rPr>
          <w:rFonts w:ascii="Arial" w:cs="Arial" w:eastAsia="Arial" w:hAnsi="Arial"/>
          <w:b/>
          <w:bCs/>
          <w:color w:val="1D3557"/>
          <w:sz w:val="36"/>
          <w:szCs w:val="36"/>
        </w:rPr>
        <w:t xml:space="preserve">1. What is this project?</w:t>
      </w:r>
    </w:p>
    <w:p>
      <w:pPr>
        <w:spacing w:after="60" w:before="60"/>
      </w:pPr>
      <w:r>
        <w:rPr>
          <w:rFonts w:ascii="Arial" w:cs="Arial" w:eastAsia="Arial" w:hAnsi="Arial"/>
          <w:color w:val="111827"/>
          <w:sz w:val="22"/>
          <w:szCs w:val="22"/>
        </w:rPr>
        <w:t xml:space="preserve">RetailCo Financial Analysis is a portfolio project that simulates the complete financial workflow of a real retail company. It is based on the Bike Sales in Europe dataset (Kaggle, author: Sadiq Shah) containing 113,036 transactions from 2011 to 2016 across 6 countries: Australia, Canada, France, Germany, United Kingdom, and USA.</w:t>
      </w:r>
    </w:p>
    <w:p>
      <w:pPr>
        <w:spacing w:after="40" w:before="40"/>
      </w:pPr>
      <w:r>
        <w:t xml:space="preserve"/>
      </w:r>
    </w:p>
    <w:p>
      <w:pPr>
        <w:spacing w:after="60" w:before="60"/>
      </w:pPr>
      <w:r>
        <w:rPr>
          <w:rFonts w:ascii="Arial" w:cs="Arial" w:eastAsia="Arial" w:hAnsi="Arial"/>
          <w:color w:val="111827"/>
          <w:sz w:val="22"/>
          <w:szCs w:val="22"/>
        </w:rPr>
        <w:t xml:space="preserve">The project covers 4 modules — from raw data preparation to an interactive Power BI dashboard — demonstrating skills directly relevant to Accounting and Controlling positions in a large international trading company.</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Key project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tcPr>
          <w:p>
            <w:r>
              <w:rPr>
                <w:rFonts w:ascii="Arial" w:cs="Arial" w:eastAsia="Arial" w:hAnsi="Arial"/>
                <w:b/>
                <w:bCs/>
                <w:color w:val="FFFFFF"/>
                <w:sz w:val="20"/>
                <w:szCs w:val="20"/>
              </w:rPr>
              <w:t xml:space="preserve">KPI</w:t>
            </w:r>
          </w:p>
        </w:tc>
        <w:tc>
          <w:tcPr>
            <w:tcW w:type="dxa" w:w="234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D3557" w:val="clear"/>
            <w:tcMar>
              <w:top w:type="dxa" w:w="100"/>
              <w:left w:type="dxa" w:w="160"/>
              <w:bottom w:type="dxa" w:w="100"/>
              <w:right w:type="dxa" w:w="160"/>
            </w:tcMar>
          </w:tcPr>
          <w:p>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111827"/>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USD 85.27M</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4B5563"/>
                <w:sz w:val="20"/>
                <w:szCs w:val="20"/>
              </w:rPr>
              <w:t xml:space="preserve">6 years, 113,036 transactions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Total Gross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USD 32.22M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B5563"/>
                <w:sz w:val="20"/>
                <w:szCs w:val="20"/>
              </w:rPr>
              <w:t xml:space="preserve">Margin stable overall</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111827"/>
                <w:sz w:val="20"/>
                <w:szCs w:val="20"/>
              </w:rPr>
              <w:t xml:space="preserve">Gross Margin %</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37.79 %</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4B5563"/>
                <w:sz w:val="20"/>
                <w:szCs w:val="20"/>
              </w:rPr>
              <w:t xml:space="preserve">Slightly below 38 % target (amber)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Budget Variance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-0.05 %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B5563"/>
                <w:sz w:val="20"/>
                <w:szCs w:val="20"/>
              </w:rPr>
              <w:t xml:space="preserve">Close to plan (green)</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111827"/>
                <w:sz w:val="20"/>
                <w:szCs w:val="20"/>
              </w:rPr>
              <w:t xml:space="preserve">Top Category</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Accessories</w:t>
            </w:r>
          </w:p>
        </w:tc>
        <w:tc>
          <w:tcPr>
            <w:tcW w:type="dxa" w:w="234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4B5563"/>
                <w:sz w:val="20"/>
                <w:szCs w:val="20"/>
              </w:rPr>
              <w:t xml:space="preserve">CM rate: 58.6 %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Top Country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1D3557"/>
                <w:sz w:val="20"/>
                <w:szCs w:val="20"/>
              </w:rPr>
              <w:t xml:space="preserve">USA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B5563"/>
                <w:sz w:val="20"/>
                <w:szCs w:val="20"/>
              </w:rPr>
              <w:t xml:space="preserve">USD 27.98M revenue</w:t>
            </w:r>
          </w:p>
        </w:tc>
      </w:tr>
    </w:tbl>
    <w:p>
      <w:pPr>
        <w:spacing w:after="40" w:before="40"/>
      </w:pPr>
      <w:r>
        <w:t xml:space="preserve"/>
      </w:r>
    </w:p>
    <w:p>
      <w:pPr>
        <w:pStyle w:val="Heading1"/>
        <w:spacing w:after="160" w:before="320"/>
      </w:pPr>
      <w:r>
        <w:rPr>
          <w:rFonts w:ascii="Arial" w:cs="Arial" w:eastAsia="Arial" w:hAnsi="Arial"/>
          <w:b/>
          <w:bCs/>
          <w:color w:val="1D3557"/>
          <w:sz w:val="36"/>
          <w:szCs w:val="36"/>
        </w:rPr>
        <w:t xml:space="preserve">2. Project structure — 4 modules</w:t>
      </w:r>
    </w:p>
    <w:p>
      <w:pPr>
        <w:pStyle w:val="Heading2"/>
        <w:spacing w:after="120" w:before="240"/>
      </w:pPr>
      <w:r>
        <w:rPr>
          <w:rFonts w:ascii="Arial" w:cs="Arial" w:eastAsia="Arial" w:hAnsi="Arial"/>
          <w:b/>
          <w:bCs/>
          <w:color w:val="1D3557"/>
          <w:sz w:val="28"/>
          <w:szCs w:val="28"/>
        </w:rPr>
        <w:t xml:space="preserve">Module 0 — Data Preparation (00_data_preparation.ipynb)</w:t>
      </w:r>
    </w:p>
    <w:p>
      <w:pPr>
        <w:spacing w:after="60" w:before="60"/>
      </w:pPr>
      <w:r>
        <w:rPr>
          <w:rFonts w:ascii="Arial" w:cs="Arial" w:eastAsia="Arial" w:hAnsi="Arial"/>
          <w:color w:val="111827"/>
          <w:sz w:val="22"/>
          <w:szCs w:val="22"/>
        </w:rPr>
        <w:t xml:space="preserve">The raw dataset is cleaned and enriched with analytical columns. Column names are standardised, data types corrected, and new fields calculated.</w:t>
      </w:r>
    </w:p>
    <w:p>
      <w:pPr>
        <w:spacing w:after="40" w:before="40"/>
      </w:pPr>
      <w:r>
        <w:t xml:space="preserve"/>
      </w:r>
    </w:p>
    <w:p>
      <w:pPr>
        <w:spacing w:after="60" w:before="60"/>
      </w:pPr>
      <w:r>
        <w:rPr>
          <w:rFonts w:ascii="Arial" w:cs="Arial" w:eastAsia="Arial" w:hAnsi="Arial"/>
          <w:b/>
          <w:bCs/>
          <w:color w:val="111827"/>
          <w:sz w:val="22"/>
          <w:szCs w:val="22"/>
        </w:rPr>
        <w:t xml:space="preserve">New columns and their meaning:</w:t>
      </w:r>
    </w:p>
    <w:p>
      <w:pPr>
        <w:pStyle w:val="ListParagraph"/>
        <w:numPr>
          <w:ilvl w:val="0"/>
          <w:numId w:val="2"/>
        </w:numPr>
        <w:spacing w:after="40" w:before="40"/>
      </w:pPr>
      <w:r>
        <w:rPr>
          <w:rFonts w:ascii="Arial" w:cs="Arial" w:eastAsia="Arial" w:hAnsi="Arial"/>
          <w:color w:val="111827"/>
          <w:sz w:val="22"/>
          <w:szCs w:val="22"/>
        </w:rPr>
        <w:t xml:space="preserve">year_month — period identifier (e.g. 2015-07). Used for monthly P&amp;L aggregation via df['date'].dt.to_period('M').</w:t>
      </w:r>
    </w:p>
    <w:p>
      <w:pPr>
        <w:pStyle w:val="ListParagraph"/>
        <w:numPr>
          <w:ilvl w:val="0"/>
          <w:numId w:val="2"/>
        </w:numPr>
        <w:spacing w:after="40" w:before="40"/>
      </w:pPr>
      <w:r>
        <w:rPr>
          <w:rFonts w:ascii="Arial" w:cs="Arial" w:eastAsia="Arial" w:hAnsi="Arial"/>
          <w:color w:val="111827"/>
          <w:sz w:val="22"/>
          <w:szCs w:val="22"/>
        </w:rPr>
        <w:t xml:space="preserve">quarter — quarter label (Q1–Q4). Basis for quarterly budget vs. actual comparison.</w:t>
      </w:r>
    </w:p>
    <w:p>
      <w:pPr>
        <w:pStyle w:val="ListParagraph"/>
        <w:numPr>
          <w:ilvl w:val="0"/>
          <w:numId w:val="2"/>
        </w:numPr>
        <w:spacing w:after="40" w:before="40"/>
      </w:pPr>
      <w:r>
        <w:rPr>
          <w:rFonts w:ascii="Arial" w:cs="Arial" w:eastAsia="Arial" w:hAnsi="Arial"/>
          <w:color w:val="111827"/>
          <w:sz w:val="22"/>
          <w:szCs w:val="22"/>
        </w:rPr>
        <w:t xml:space="preserve">fiscal_year — fiscal year. Foundation for annual closing and YoY comparisons.</w:t>
      </w:r>
    </w:p>
    <w:p>
      <w:pPr>
        <w:pStyle w:val="ListParagraph"/>
        <w:numPr>
          <w:ilvl w:val="0"/>
          <w:numId w:val="2"/>
        </w:numPr>
        <w:spacing w:after="40" w:before="40"/>
      </w:pPr>
      <w:r>
        <w:rPr>
          <w:rFonts w:ascii="Arial" w:cs="Arial" w:eastAsia="Arial" w:hAnsi="Arial"/>
          <w:color w:val="111827"/>
          <w:sz w:val="22"/>
          <w:szCs w:val="22"/>
        </w:rPr>
        <w:t xml:space="preserve">gross_margin_pct = profit / revenue × 100. Shows what percentage of revenue remains as gross profit before overheads.</w:t>
      </w:r>
    </w:p>
    <w:p>
      <w:pPr>
        <w:pStyle w:val="ListParagraph"/>
        <w:numPr>
          <w:ilvl w:val="0"/>
          <w:numId w:val="2"/>
        </w:numPr>
        <w:spacing w:after="40" w:before="40"/>
      </w:pPr>
      <w:r>
        <w:rPr>
          <w:rFonts w:ascii="Arial" w:cs="Arial" w:eastAsia="Arial" w:hAnsi="Arial"/>
          <w:color w:val="111827"/>
          <w:sz w:val="22"/>
          <w:szCs w:val="22"/>
        </w:rPr>
        <w:t xml:space="preserve">revenue_plan = revenue × (1 ± 12 %). Simulated budget values using np.random.seed(42) for reproducibility. Standard practice in Controlling when no budget dataset is available.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gross_margin_pct  = (profit / revenue) × 100</w:t>
            </w:r>
          </w:p>
          <w:p>
            <w:pPr>
              <w:spacing w:after="30" w:before="30"/>
            </w:pPr>
            <w:r>
              <w:rPr>
                <w:rFonts w:ascii="Courier New" w:cs="Courier New" w:eastAsia="Courier New" w:hAnsi="Courier New"/>
                <w:color w:val="1D3557"/>
                <w:sz w:val="20"/>
                <w:szCs w:val="20"/>
              </w:rPr>
              <w:t xml:space="preserve">revenue_plan      = revenue × (1 + uniform(-0.12, +0.12))</w:t>
            </w:r>
          </w:p>
          <w:p>
            <w:pPr>
              <w:spacing w:after="30" w:before="30"/>
            </w:pPr>
            <w:r>
              <w:rPr>
                <w:rFonts w:ascii="Courier New" w:cs="Courier New" w:eastAsia="Courier New" w:hAnsi="Courier New"/>
                <w:color w:val="1D3557"/>
                <w:sz w:val="20"/>
                <w:szCs w:val="20"/>
              </w:rPr>
              <w:t xml:space="preserve">revenue_var_abs   = revenue - revenue_plan</w:t>
            </w:r>
          </w:p>
          <w:p>
            <w:pPr>
              <w:spacing w:after="30" w:before="30"/>
            </w:pPr>
            <w:r>
              <w:rPr>
                <w:rFonts w:ascii="Courier New" w:cs="Courier New" w:eastAsia="Courier New" w:hAnsi="Courier New"/>
                <w:color w:val="1D3557"/>
                <w:sz w:val="20"/>
                <w:szCs w:val="20"/>
              </w:rPr>
              <w:t xml:space="preserve">revenue_var_pct   = revenue_var_abs / revenue_plan × 100</w:t>
            </w:r>
          </w:p>
          <w:p>
            <w:pPr>
              <w:spacing w:after="30" w:before="30"/>
            </w:pPr>
            <w:r>
              <w:rPr>
                <w:rFonts w:ascii="Courier New" w:cs="Courier New" w:eastAsia="Courier New" w:hAnsi="Courier New"/>
                <w:color w:val="1D3557"/>
                <w:sz w:val="20"/>
                <w:szCs w:val="20"/>
              </w:rPr>
              <w:t xml:space="preserve">cost_plan         = cost × (1 + variation × 0.8)</w:t>
            </w:r>
          </w:p>
          <w:p>
            <w:pPr>
              <w:spacing w:after="30" w:before="30"/>
            </w:pPr>
            <w:r>
              <w:rPr>
                <w:rFonts w:ascii="Courier New" w:cs="Courier New" w:eastAsia="Courier New" w:hAnsi="Courier New"/>
                <w:color w:val="1D3557"/>
                <w:sz w:val="20"/>
                <w:szCs w:val="20"/>
              </w:rPr>
              <w:t xml:space="preserve">profit_plan       = revenue_plan - cost_plan</w:t>
            </w:r>
          </w:p>
        </w:tc>
      </w:tr>
    </w:tbl>
    <w:p>
      <w:pPr>
        <w:spacing w:after="40" w:before="40"/>
      </w:pPr>
      <w:r>
        <w:t xml:space="preserve"/>
      </w:r>
    </w:p>
    <w:p>
      <w:pPr>
        <w:pStyle w:val="Heading2"/>
        <w:spacing w:after="120" w:before="240"/>
      </w:pPr>
      <w:r>
        <w:rPr>
          <w:rFonts w:ascii="Arial" w:cs="Arial" w:eastAsia="Arial" w:hAnsi="Arial"/>
          <w:b/>
          <w:bCs/>
          <w:color w:val="1D3557"/>
          <w:sz w:val="28"/>
          <w:szCs w:val="28"/>
        </w:rPr>
        <w:t xml:space="preserve">Module 1 — Accounting: Monthly Closing (01_accounting_closing.ipynb)</w:t>
      </w:r>
    </w:p>
    <w:p>
      <w:pPr>
        <w:spacing w:after="60" w:before="60"/>
      </w:pPr>
      <w:r>
        <w:rPr>
          <w:rFonts w:ascii="Arial" w:cs="Arial" w:eastAsia="Arial" w:hAnsi="Arial"/>
          <w:color w:val="111827"/>
          <w:sz w:val="22"/>
          <w:szCs w:val="22"/>
        </w:rPr>
        <w:t xml:space="preserve">The monthly closing (Monatsabschluss) is the core accounting process, ensuring all transactions are completely and correctly recorded per period. It is structured using Working Day (WD) logic.</w:t>
      </w:r>
    </w:p>
    <w:p>
      <w:pPr>
        <w:spacing w:after="40" w:before="40"/>
      </w:pPr>
      <w:r>
        <w:t xml:space="preserve"/>
      </w:r>
    </w:p>
    <w:p>
      <w:pPr>
        <w:spacing w:after="60" w:before="60"/>
      </w:pPr>
      <w:r>
        <w:rPr>
          <w:rFonts w:ascii="Arial" w:cs="Arial" w:eastAsia="Arial" w:hAnsi="Arial"/>
          <w:b/>
          <w:bCs/>
          <w:color w:val="111827"/>
          <w:sz w:val="22"/>
          <w:szCs w:val="22"/>
        </w:rPr>
        <w:t xml:space="preserve">Profit &amp; Loss Statement (P&amp;L / GuV):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 Revenue (Umsatzerlöse)             = sum of all transaction revenues per month</w:t>
            </w:r>
          </w:p>
          <w:p>
            <w:pPr>
              <w:spacing w:after="30" w:before="30"/>
            </w:pPr>
            <w:r>
              <w:rPr>
                <w:rFonts w:ascii="Courier New" w:cs="Courier New" w:eastAsia="Courier New" w:hAnsi="Courier New"/>
                <w:color w:val="1D3557"/>
                <w:sz w:val="20"/>
                <w:szCs w:val="20"/>
              </w:rPr>
              <w:t xml:space="preserve">(-) COGS (Umsatzkosten)               = sum of all transaction costs per month</w:t>
            </w:r>
          </w:p>
          <w:p>
            <w:pPr>
              <w:spacing w:after="30" w:before="30"/>
            </w:pPr>
            <w:r>
              <w:rPr>
                <w:rFonts w:ascii="Courier New" w:cs="Courier New" w:eastAsia="Courier New" w:hAnsi="Courier New"/>
                <w:color w:val="1D3557"/>
                <w:sz w:val="20"/>
                <w:szCs w:val="20"/>
              </w:rPr>
              <w:t xml:space="preserve">(=) Gross Profit (Bruttoergebnis)      = Revenue - COGS</w:t>
            </w:r>
          </w:p>
          <w:p>
            <w:pPr>
              <w:spacing w:after="30" w:before="30"/>
            </w:pPr>
            <w:r>
              <w:rPr>
                <w:rFonts w:ascii="Courier New" w:cs="Courier New" w:eastAsia="Courier New" w:hAnsi="Courier New"/>
                <w:color w:val="1D3557"/>
                <w:sz w:val="20"/>
                <w:szCs w:val="20"/>
              </w:rPr>
              <w:t xml:space="preserve">    Gross Margin % (Bruttomarge)       = Gross Profit / Revenue × 100</w:t>
            </w:r>
          </w:p>
          <w:p>
            <w:pPr>
              <w:spacing w:after="30" w:before="30"/>
            </w:pPr>
            <w:r>
              <w:rPr>
                <w:rFonts w:ascii="Courier New" w:cs="Courier New" w:eastAsia="Courier New" w:hAnsi="Courier New"/>
                <w:color w:val="1D3557"/>
                <w:sz w:val="20"/>
                <w:szCs w:val="20"/>
              </w:rPr>
              <w:t xml:space="preserve"/>
            </w:r>
          </w:p>
          <w:p>
            <w:pPr>
              <w:spacing w:after="30" w:before="30"/>
            </w:pPr>
            <w:r>
              <w:rPr>
                <w:rFonts w:ascii="Courier New" w:cs="Courier New" w:eastAsia="Courier New" w:hAnsi="Courier New"/>
                <w:color w:val="1D3557"/>
                <w:sz w:val="20"/>
                <w:szCs w:val="20"/>
              </w:rPr>
              <w:t xml:space="preserve">    Variance abs (Abweichung abs)      = Actual - Budget</w:t>
            </w:r>
          </w:p>
          <w:p>
            <w:pPr>
              <w:spacing w:after="30" w:before="30"/>
            </w:pPr>
            <w:r>
              <w:rPr>
                <w:rFonts w:ascii="Courier New" w:cs="Courier New" w:eastAsia="Courier New" w:hAnsi="Courier New"/>
                <w:color w:val="1D3557"/>
                <w:sz w:val="20"/>
                <w:szCs w:val="20"/>
              </w:rPr>
              <w:t xml:space="preserve">    Variance %   (Abweichung %)        = (Actual - Budget) / Budget × 100</w:t>
            </w:r>
          </w:p>
          <w:p>
            <w:pPr>
              <w:spacing w:after="30" w:before="30"/>
            </w:pPr>
            <w:r>
              <w:rPr>
                <w:rFonts w:ascii="Courier New" w:cs="Courier New" w:eastAsia="Courier New" w:hAnsi="Courier New"/>
                <w:color w:val="1D3557"/>
                <w:sz w:val="20"/>
                <w:szCs w:val="20"/>
              </w:rPr>
              <w:t xml:space="preserve">    RAG: &gt;= +3% =&gt; Green | &gt;= -3% =&gt; Amber | &lt; -3% =&gt; Red</w:t>
            </w:r>
          </w:p>
        </w:tc>
      </w:tr>
    </w:tbl>
    <w:p>
      <w:pPr>
        <w:spacing w:after="40" w:before="40"/>
      </w:pPr>
      <w:r>
        <w:t xml:space="preserve"/>
      </w:r>
    </w:p>
    <w:p>
      <w:pPr>
        <w:spacing w:after="60" w:before="60"/>
      </w:pPr>
      <w:r>
        <w:rPr>
          <w:rFonts w:ascii="Arial" w:cs="Arial" w:eastAsia="Arial" w:hAnsi="Arial"/>
          <w:b/>
          <w:bCs/>
          <w:color w:val="111827"/>
          <w:sz w:val="22"/>
          <w:szCs w:val="22"/>
        </w:rPr>
        <w:t xml:space="preserve">Accruals &amp; Deferrals (Rechnungsabgrenzungsposten):</w:t>
      </w:r>
    </w:p>
    <w:p>
      <w:pPr>
        <w:spacing w:after="60" w:before="60"/>
      </w:pPr>
      <w:r>
        <w:rPr>
          <w:rFonts w:ascii="Arial" w:cs="Arial" w:eastAsia="Arial" w:hAnsi="Arial"/>
          <w:color w:val="111827"/>
          <w:sz w:val="22"/>
          <w:szCs w:val="22"/>
        </w:rPr>
        <w:t xml:space="preserve">The matching principle (§ 250 HGB / IFRS) requires revenues and expenses to be recorded in the period they economically belong to, regardless of when cash moves.</w:t>
      </w:r>
    </w:p>
    <w:p>
      <w:pPr>
        <w:spacing w:after="40" w:before="40"/>
      </w:pPr>
      <w:r>
        <w:t xml:space="preserve"/>
      </w:r>
    </w:p>
    <w:p>
      <w:pPr>
        <w:pStyle w:val="ListParagraph"/>
        <w:numPr>
          <w:ilvl w:val="0"/>
          <w:numId w:val="2"/>
        </w:numPr>
        <w:spacing w:after="40" w:before="40"/>
      </w:pPr>
      <w:r>
        <w:rPr>
          <w:rFonts w:ascii="Arial" w:cs="Arial" w:eastAsia="Arial" w:hAnsi="Arial"/>
          <w:color w:val="111827"/>
          <w:sz w:val="22"/>
          <w:szCs w:val="22"/>
        </w:rPr>
        <w:t xml:space="preserve">ARAP (Active Accrual / Prepaid Revenue): 5 % of monthly revenue will be invoiced next month → deferred to the following period. Sits on the asset side of the balance sheet. Effect: adjusted result decreases.</w:t>
      </w:r>
    </w:p>
    <w:p>
      <w:pPr>
        <w:pStyle w:val="ListParagraph"/>
        <w:numPr>
          <w:ilvl w:val="0"/>
          <w:numId w:val="2"/>
        </w:numPr>
        <w:spacing w:after="40" w:before="40"/>
      </w:pPr>
      <w:r>
        <w:rPr>
          <w:rFonts w:ascii="Arial" w:cs="Arial" w:eastAsia="Arial" w:hAnsi="Arial"/>
          <w:color w:val="111827"/>
          <w:sz w:val="22"/>
          <w:szCs w:val="22"/>
        </w:rPr>
        <w:t xml:space="preserve">PRAP (Passive Accrual / Deferred Cost): 3 % of COGS belongs to the next period → current period expenses decrease. Sits on the liability side of the balance sheet. Effect: adjusted result increases.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ARAP                  = Revenue × 5 %</w:t>
            </w:r>
          </w:p>
          <w:p>
            <w:pPr>
              <w:spacing w:after="30" w:before="30"/>
            </w:pPr>
            <w:r>
              <w:rPr>
                <w:rFonts w:ascii="Courier New" w:cs="Courier New" w:eastAsia="Courier New" w:hAnsi="Courier New"/>
                <w:color w:val="1D3557"/>
                <w:sz w:val="20"/>
                <w:szCs w:val="20"/>
              </w:rPr>
              <w:t xml:space="preserve">PRAP                  = COGS × 3 %</w:t>
            </w:r>
          </w:p>
          <w:p>
            <w:pPr>
              <w:spacing w:after="30" w:before="30"/>
            </w:pPr>
            <w:r>
              <w:rPr>
                <w:rFonts w:ascii="Courier New" w:cs="Courier New" w:eastAsia="Courier New" w:hAnsi="Courier New"/>
                <w:color w:val="1D3557"/>
                <w:sz w:val="20"/>
                <w:szCs w:val="20"/>
              </w:rPr>
              <w:t xml:space="preserve">Adjusted Result       = Gross Profit - ARAP + PRAP</w:t>
            </w:r>
          </w:p>
        </w:tc>
      </w:tr>
    </w:tbl>
    <w:p>
      <w:pPr>
        <w:spacing w:after="40" w:before="40"/>
      </w:pPr>
      <w:r>
        <w:t xml:space="preserve"/>
      </w:r>
    </w:p>
    <w:p>
      <w:pPr>
        <w:spacing w:after="60" w:before="60"/>
      </w:pPr>
      <w:r>
        <w:rPr>
          <w:rFonts w:ascii="Arial" w:cs="Arial" w:eastAsia="Arial" w:hAnsi="Arial"/>
          <w:b/>
          <w:bCs/>
          <w:color w:val="111827"/>
          <w:sz w:val="22"/>
          <w:szCs w:val="22"/>
        </w:rPr>
        <w:t xml:space="preserve">Closing Checklist (closing_checklist_v5.xlsx):</w:t>
      </w:r>
    </w:p>
    <w:p>
      <w:pPr>
        <w:spacing w:after="60" w:before="60"/>
      </w:pPr>
      <w:r>
        <w:rPr>
          <w:rFonts w:ascii="Arial" w:cs="Arial" w:eastAsia="Arial" w:hAnsi="Arial"/>
          <w:color w:val="111827"/>
          <w:sz w:val="22"/>
          <w:szCs w:val="22"/>
        </w:rPr>
        <w:t xml:space="preserve">The Excel workbook contains 5 sheets: Closing Checklist (9 tasks with WD logic), Monthly P&amp;L (live SUMIFS formulas), Annual Closing (2011–2016), Accruals (ARAP/PRAP 2015 calculation), Raw Data Sample (300 rows). All numeric cells use live Excel formulas referencing the Raw Data sheet — no hardcoded Python values.</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Module 2 — Controlling: Budget vs. Actual (02_controlling_plan_ist.ipynb)</w:t>
      </w:r>
    </w:p>
    <w:p>
      <w:pPr>
        <w:spacing w:after="60" w:before="60"/>
      </w:pPr>
      <w:r>
        <w:rPr>
          <w:rFonts w:ascii="Arial" w:cs="Arial" w:eastAsia="Arial" w:hAnsi="Arial"/>
          <w:color w:val="111827"/>
          <w:sz w:val="22"/>
          <w:szCs w:val="22"/>
        </w:rPr>
        <w:t xml:space="preserve">Controlling goes beyond recording actuals — it explains deviations from budget and provides management recommendations. This module covers the complete controlling cycle.</w:t>
      </w:r>
    </w:p>
    <w:p>
      <w:pPr>
        <w:spacing w:after="40" w:before="40"/>
      </w:pPr>
      <w:r>
        <w:t xml:space="preserve"/>
      </w:r>
    </w:p>
    <w:p>
      <w:pPr>
        <w:spacing w:after="60" w:before="60"/>
      </w:pPr>
      <w:r>
        <w:rPr>
          <w:rFonts w:ascii="Arial" w:cs="Arial" w:eastAsia="Arial" w:hAnsi="Arial"/>
          <w:b/>
          <w:bCs/>
          <w:color w:val="111827"/>
          <w:sz w:val="22"/>
          <w:szCs w:val="22"/>
        </w:rPr>
        <w:t xml:space="preserve">KPI Dashboard —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Revenue YoY %         = (Revenue_t - Revenue_{t-1}) / Revenue_{t-1} × 100</w:t>
            </w:r>
          </w:p>
          <w:p>
            <w:pPr>
              <w:spacing w:after="30" w:before="30"/>
            </w:pPr>
            <w:r>
              <w:rPr>
                <w:rFonts w:ascii="Courier New" w:cs="Courier New" w:eastAsia="Courier New" w:hAnsi="Courier New"/>
                <w:color w:val="1D3557"/>
                <w:sz w:val="20"/>
                <w:szCs w:val="20"/>
              </w:rPr>
              <w:t xml:space="preserve">Gross Margin %        = Gross Profit / Revenue × 100</w:t>
            </w:r>
          </w:p>
          <w:p>
            <w:pPr>
              <w:spacing w:after="30" w:before="30"/>
            </w:pPr>
            <w:r>
              <w:rPr>
                <w:rFonts w:ascii="Courier New" w:cs="Courier New" w:eastAsia="Courier New" w:hAnsi="Courier New"/>
                <w:color w:val="1D3557"/>
                <w:sz w:val="20"/>
                <w:szCs w:val="20"/>
              </w:rPr>
              <w:t xml:space="preserve">Contribution Margin   = Revenue - Variable Costs</w:t>
            </w:r>
          </w:p>
          <w:p>
            <w:pPr>
              <w:spacing w:after="30" w:before="30"/>
            </w:pPr>
            <w:r>
              <w:rPr>
                <w:rFonts w:ascii="Courier New" w:cs="Courier New" w:eastAsia="Courier New" w:hAnsi="Courier New"/>
                <w:color w:val="1D3557"/>
                <w:sz w:val="20"/>
                <w:szCs w:val="20"/>
              </w:rPr>
              <w:t xml:space="preserve">CM Rate               = Contribution Margin / Revenue × 100</w:t>
            </w:r>
          </w:p>
          <w:p>
            <w:pPr>
              <w:spacing w:after="30" w:before="30"/>
            </w:pPr>
            <w:r>
              <w:rPr>
                <w:rFonts w:ascii="Courier New" w:cs="Courier New" w:eastAsia="Courier New" w:hAnsi="Courier New"/>
                <w:color w:val="1D3557"/>
                <w:sz w:val="20"/>
                <w:szCs w:val="20"/>
              </w:rPr>
              <w:t xml:space="preserve">Budget Variance %     = (Actual - Budget) / Budget × 100</w:t>
            </w:r>
          </w:p>
        </w:tc>
      </w:tr>
    </w:tbl>
    <w:p>
      <w:pPr>
        <w:spacing w:after="40" w:before="40"/>
      </w:pPr>
      <w:r>
        <w:t xml:space="preserve"/>
      </w:r>
    </w:p>
    <w:p>
      <w:pPr>
        <w:spacing w:after="60" w:before="60"/>
      </w:pPr>
      <w:r>
        <w:rPr>
          <w:rFonts w:ascii="Arial" w:cs="Arial" w:eastAsia="Arial" w:hAnsi="Arial"/>
          <w:b/>
          <w:bCs/>
          <w:color w:val="111827"/>
          <w:sz w:val="22"/>
          <w:szCs w:val="22"/>
        </w:rPr>
        <w:t xml:space="preserve">Variance analysis — price and volume effects:</w:t>
      </w:r>
    </w:p>
    <w:p>
      <w:pPr>
        <w:pStyle w:val="ListParagraph"/>
        <w:numPr>
          <w:ilvl w:val="0"/>
          <w:numId w:val="2"/>
        </w:numPr>
        <w:spacing w:after="40" w:before="40"/>
      </w:pPr>
      <w:r>
        <w:rPr>
          <w:rFonts w:ascii="Arial" w:cs="Arial" w:eastAsia="Arial" w:hAnsi="Arial"/>
          <w:color w:val="111827"/>
          <w:sz w:val="22"/>
          <w:szCs w:val="22"/>
        </w:rPr>
        <w:t xml:space="preserve">Price Effect: how much of the total variance is explained by price differences. Formula: (Actual Price - Budget Price) × Budget Volume</w:t>
      </w:r>
    </w:p>
    <w:p>
      <w:pPr>
        <w:pStyle w:val="ListParagraph"/>
        <w:numPr>
          <w:ilvl w:val="0"/>
          <w:numId w:val="2"/>
        </w:numPr>
        <w:spacing w:after="40" w:before="40"/>
      </w:pPr>
      <w:r>
        <w:rPr>
          <w:rFonts w:ascii="Arial" w:cs="Arial" w:eastAsia="Arial" w:hAnsi="Arial"/>
          <w:color w:val="111827"/>
          <w:sz w:val="22"/>
          <w:szCs w:val="22"/>
        </w:rPr>
        <w:t xml:space="preserve">Volume Effect: how much is explained by sales volume differences. Formula: (Actual Volume - Budget Volume) × Budget Price</w:t>
      </w:r>
    </w:p>
    <w:p>
      <w:pPr>
        <w:pStyle w:val="ListParagraph"/>
        <w:numPr>
          <w:ilvl w:val="0"/>
          <w:numId w:val="2"/>
        </w:numPr>
        <w:spacing w:after="40" w:before="40"/>
      </w:pPr>
      <w:r>
        <w:rPr>
          <w:rFonts w:ascii="Arial" w:cs="Arial" w:eastAsia="Arial" w:hAnsi="Arial"/>
          <w:color w:val="111827"/>
          <w:sz w:val="22"/>
          <w:szCs w:val="22"/>
        </w:rPr>
        <w:t xml:space="preserve">Rolling Forecast: next-quarter revenue prediction based on the last N months — a standard controlling tool for forward-looking management.</w:t>
      </w:r>
    </w:p>
    <w:p>
      <w:pPr>
        <w:spacing w:after="40" w:before="40"/>
      </w:pPr>
      <w:r>
        <w:t xml:space="preserve"/>
      </w:r>
    </w:p>
    <w:p>
      <w:pPr>
        <w:spacing w:after="60" w:before="60"/>
      </w:pPr>
      <w:r>
        <w:rPr>
          <w:rFonts w:ascii="Arial" w:cs="Arial" w:eastAsia="Arial" w:hAnsi="Arial"/>
          <w:b/>
          <w:bCs/>
          <w:color w:val="111827"/>
          <w:sz w:val="22"/>
          <w:szCs w:val="22"/>
        </w:rPr>
        <w:t xml:space="preserve">Business Insight — France:</w:t>
      </w:r>
    </w:p>
    <w:p>
      <w:pPr>
        <w:spacing w:after="60" w:before="60"/>
      </w:pPr>
      <w:r>
        <w:rPr>
          <w:rFonts w:ascii="Arial" w:cs="Arial" w:eastAsia="Arial" w:hAnsi="Arial"/>
          <w:color w:val="111827"/>
          <w:sz w:val="22"/>
          <w:szCs w:val="22"/>
        </w:rPr>
        <w:t xml:space="preserve">France shows the largest negative budget variance at -0.38 % (all other countries: between -0.10 % and +0.07 %). The 2015 quarterly breakdown is revealing:</w:t>
      </w:r>
    </w:p>
    <w:p>
      <w:pPr>
        <w:pStyle w:val="ListParagraph"/>
        <w:numPr>
          <w:ilvl w:val="0"/>
          <w:numId w:val="2"/>
        </w:numPr>
        <w:spacing w:after="40" w:before="40"/>
      </w:pPr>
      <w:r>
        <w:rPr>
          <w:rFonts w:ascii="Arial" w:cs="Arial" w:eastAsia="Arial" w:hAnsi="Arial"/>
          <w:color w:val="111827"/>
          <w:sz w:val="22"/>
          <w:szCs w:val="22"/>
        </w:rPr>
        <w:t xml:space="preserve">Q1 2015: +0.62 % above budget</w:t>
      </w:r>
    </w:p>
    <w:p>
      <w:pPr>
        <w:pStyle w:val="ListParagraph"/>
        <w:numPr>
          <w:ilvl w:val="0"/>
          <w:numId w:val="2"/>
        </w:numPr>
        <w:spacing w:after="40" w:before="40"/>
      </w:pPr>
      <w:r>
        <w:rPr>
          <w:rFonts w:ascii="Arial" w:cs="Arial" w:eastAsia="Arial" w:hAnsi="Arial"/>
          <w:color w:val="111827"/>
          <w:sz w:val="22"/>
          <w:szCs w:val="22"/>
        </w:rPr>
        <w:t xml:space="preserve">Q2 2015: +0.03 % above budget</w:t>
      </w:r>
    </w:p>
    <w:p>
      <w:pPr>
        <w:pStyle w:val="ListParagraph"/>
        <w:numPr>
          <w:ilvl w:val="0"/>
          <w:numId w:val="2"/>
        </w:numPr>
        <w:spacing w:after="40" w:before="40"/>
      </w:pPr>
      <w:r>
        <w:rPr>
          <w:rFonts w:ascii="Arial" w:cs="Arial" w:eastAsia="Arial" w:hAnsi="Arial"/>
          <w:color w:val="111827"/>
          <w:sz w:val="22"/>
          <w:szCs w:val="22"/>
        </w:rPr>
        <w:t xml:space="preserve">Q3 2015: -0.26 % below budget</w:t>
      </w:r>
    </w:p>
    <w:p>
      <w:pPr>
        <w:pStyle w:val="ListParagraph"/>
        <w:numPr>
          <w:ilvl w:val="0"/>
          <w:numId w:val="2"/>
        </w:numPr>
        <w:spacing w:after="40" w:before="40"/>
      </w:pPr>
      <w:r>
        <w:rPr>
          <w:rFonts w:ascii="Arial" w:cs="Arial" w:eastAsia="Arial" w:hAnsi="Arial"/>
          <w:color w:val="111827"/>
          <w:sz w:val="22"/>
          <w:szCs w:val="22"/>
        </w:rPr>
        <w:t xml:space="preserve">Q4 2015: -0.33 % below budget</w:t>
      </w:r>
    </w:p>
    <w:p>
      <w:pPr>
        <w:spacing w:after="60" w:before="60"/>
      </w:pPr>
      <w:r>
        <w:rPr>
          <w:rFonts w:ascii="Arial" w:cs="Arial" w:eastAsia="Arial" w:hAnsi="Arial"/>
          <w:color w:val="111827"/>
          <w:sz w:val="22"/>
          <w:szCs w:val="22"/>
        </w:rPr>
        <w:t xml:space="preserve">Additionally, France's gross margin of 34.2 % is significantly below the portfolio average (37.8 %) and the top-performing country, Canada (46.8 %).</w:t>
      </w:r>
    </w:p>
    <w:p>
      <w:pPr>
        <w:spacing w:after="60" w:before="60"/>
      </w:pPr>
      <w:r>
        <w:rPr>
          <w:rFonts w:ascii="Arial" w:cs="Arial" w:eastAsia="Arial" w:hAnsi="Arial"/>
          <w:color w:val="111827"/>
          <w:sz w:val="22"/>
          <w:szCs w:val="22"/>
        </w:rPr>
        <w:t xml:space="preserve">Recommendation: Review pricing and discount policy in France from Q3 onward, focusing on the Bikes/Clothing category mix. Target margin-improvement actions for H2 of the following year.</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Module 3 — Power BI Data Export (03_data_export_powerbi.ipynb)</w:t>
      </w:r>
    </w:p>
    <w:p>
      <w:pPr>
        <w:spacing w:after="60" w:before="60"/>
      </w:pPr>
      <w:r>
        <w:rPr>
          <w:rFonts w:ascii="Arial" w:cs="Arial" w:eastAsia="Arial" w:hAnsi="Arial"/>
          <w:color w:val="111827"/>
          <w:sz w:val="22"/>
          <w:szCs w:val="22"/>
        </w:rPr>
        <w:t xml:space="preserve">Cleaned data is transformed into a Star Schema — the standard architecture for Business Intelligence and Power BI data models. Each output file maps to one table in the Power BI model.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60"/>
        <w:gridCol w:w="2800"/>
        <w:gridCol w:w="2800"/>
      </w:tblGrid>
      <w:tr>
        <w:tc>
          <w:tcPr>
            <w:tcW w:type="dxa" w:w="1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w:t>
            </w:r>
          </w:p>
        </w:tc>
        <w:tc>
          <w:tcPr>
            <w:tcW w:type="dxa" w:w="2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Contents</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Connection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pbi_fact_sales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Fact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Every transaction: revenue, cost, profit, revenue_plan, order_quantity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FK to all dimensions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pbi_dim_date</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Dimension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year, month, quarter, year_month</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 fact_sales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pbi_dim_product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Dimension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Product category and subcategory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category/sub → fact_sales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pbi_dim_geography</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Dimension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Country names (DE + EN)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111827"/>
                <w:sz w:val="20"/>
                <w:szCs w:val="20"/>
              </w:rPr>
              <w:t xml:space="preserve">country → fact_sales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3557"/>
                <w:sz w:val="22"/>
                <w:szCs w:val="22"/>
              </w:rPr>
              <w:t xml:space="preserve">pbi_budget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Budget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Aggregated plan values by year_month &amp; 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year_month → dim_date</w:t>
            </w:r>
          </w:p>
        </w:tc>
      </w:tr>
    </w:tbl>
    <w:p>
      <w:pPr>
        <w:spacing w:after="40" w:before="40"/>
      </w:pPr>
      <w:r>
        <w:t xml:space="preserve"/>
      </w:r>
    </w:p>
    <w:p>
      <w:pPr>
        <w:spacing w:after="60" w:before="60"/>
      </w:pPr>
      <w:r>
        <w:rPr>
          <w:rFonts w:ascii="Arial" w:cs="Arial" w:eastAsia="Arial" w:hAnsi="Arial"/>
          <w:color w:val="111827"/>
          <w:sz w:val="22"/>
          <w:szCs w:val="22"/>
        </w:rPr>
        <w:t xml:space="preserve">The dashboard has 3 pages: KPI Overview (revenue, profit, margin, variance, trend charts), Budget vs. Actual (waterfall chart by year, country-level breakdown table), and Forecast (rolling revenue forecast).</w:t>
      </w:r>
    </w:p>
    <w:p>
      <w:pPr>
        <w:spacing w:after="40" w:before="40"/>
      </w:pPr>
      <w:r>
        <w:t xml:space="preserve"/>
      </w:r>
    </w:p>
    <w:p>
      <w:pPr>
        <w:pStyle w:val="Heading2"/>
        <w:spacing w:after="120" w:before="240"/>
      </w:pPr>
      <w:r>
        <w:rPr>
          <w:rFonts w:ascii="Arial" w:cs="Arial" w:eastAsia="Arial" w:hAnsi="Arial"/>
          <w:b/>
          <w:bCs/>
          <w:color w:val="1D3557"/>
          <w:sz w:val="28"/>
          <w:szCs w:val="28"/>
        </w:rPr>
        <w:t xml:space="preserve">SAP Mock Documents (FB50 + F-02)</w:t>
      </w:r>
    </w:p>
    <w:p>
      <w:pPr>
        <w:spacing w:after="60" w:before="60"/>
      </w:pPr>
      <w:r>
        <w:rPr>
          <w:rFonts w:ascii="Arial" w:cs="Arial" w:eastAsia="Arial" w:hAnsi="Arial"/>
          <w:color w:val="111827"/>
          <w:sz w:val="22"/>
          <w:szCs w:val="22"/>
        </w:rPr>
        <w:t xml:space="preserve">Two simulated SAP posting documents demonstrate knowledge of SAP booking logic without requiring live system access:</w:t>
      </w:r>
    </w:p>
    <w:p>
      <w:pPr>
        <w:spacing w:after="40" w:before="40"/>
      </w:pPr>
      <w:r>
        <w:t xml:space="preserve"/>
      </w:r>
    </w:p>
    <w:p>
      <w:pPr>
        <w:spacing w:after="60" w:before="60"/>
      </w:pPr>
      <w:r>
        <w:rPr>
          <w:rFonts w:ascii="Arial" w:cs="Arial" w:eastAsia="Arial" w:hAnsi="Arial"/>
          <w:b/>
          <w:bCs/>
          <w:color w:val="111827"/>
          <w:sz w:val="22"/>
          <w:szCs w:val="22"/>
        </w:rPr>
        <w:t xml:space="preserve">FB50 — Accounts Payable (Kreditorenbuchhaltung):</w:t>
      </w:r>
    </w:p>
    <w:p>
      <w:pPr>
        <w:pStyle w:val="ListParagraph"/>
        <w:numPr>
          <w:ilvl w:val="0"/>
          <w:numId w:val="2"/>
        </w:numPr>
        <w:spacing w:after="40" w:before="40"/>
      </w:pPr>
      <w:r>
        <w:rPr>
          <w:rFonts w:ascii="Arial" w:cs="Arial" w:eastAsia="Arial" w:hAnsi="Arial"/>
          <w:color w:val="111827"/>
          <w:sz w:val="22"/>
          <w:szCs w:val="22"/>
        </w:rPr>
        <w:t xml:space="preserve">Q1 2016 goods purchase: Bikes/Accessories/Clothing for Germany, France, UK</w:t>
      </w:r>
    </w:p>
    <w:p>
      <w:pPr>
        <w:pStyle w:val="ListParagraph"/>
        <w:numPr>
          <w:ilvl w:val="0"/>
          <w:numId w:val="2"/>
        </w:numPr>
        <w:spacing w:after="40" w:before="40"/>
      </w:pPr>
      <w:r>
        <w:rPr>
          <w:rFonts w:ascii="Arial" w:cs="Arial" w:eastAsia="Arial" w:hAnsi="Arial"/>
          <w:color w:val="111827"/>
          <w:sz w:val="22"/>
          <w:szCs w:val="22"/>
        </w:rPr>
        <w:t xml:space="preserve">Posting keys: 31 (Credit = vendor/AP), 40 (Debit = expense/COGS)</w:t>
      </w:r>
    </w:p>
    <w:p>
      <w:pPr>
        <w:pStyle w:val="ListParagraph"/>
        <w:numPr>
          <w:ilvl w:val="0"/>
          <w:numId w:val="2"/>
        </w:numPr>
        <w:spacing w:after="40" w:before="40"/>
      </w:pPr>
      <w:r>
        <w:rPr>
          <w:rFonts w:ascii="Arial" w:cs="Arial" w:eastAsia="Arial" w:hAnsi="Arial"/>
          <w:color w:val="111827"/>
          <w:sz w:val="22"/>
          <w:szCs w:val="22"/>
        </w:rPr>
        <w:t xml:space="preserve">Net principle: VAT (V9 19 % / 20 %) posted separately</w:t>
      </w:r>
    </w:p>
    <w:p>
      <w:pPr>
        <w:spacing w:after="40" w:before="40"/>
      </w:pPr>
      <w:r>
        <w:t xml:space="preserve"/>
      </w:r>
    </w:p>
    <w:p>
      <w:pPr>
        <w:spacing w:after="60" w:before="60"/>
      </w:pPr>
      <w:r>
        <w:rPr>
          <w:rFonts w:ascii="Arial" w:cs="Arial" w:eastAsia="Arial" w:hAnsi="Arial"/>
          <w:b/>
          <w:bCs/>
          <w:color w:val="111827"/>
          <w:sz w:val="22"/>
          <w:szCs w:val="22"/>
        </w:rPr>
        <w:t xml:space="preserve">F-02 — General Ledger Manual Entry:</w:t>
      </w:r>
    </w:p>
    <w:p>
      <w:pPr>
        <w:pStyle w:val="ListParagraph"/>
        <w:numPr>
          <w:ilvl w:val="0"/>
          <w:numId w:val="2"/>
        </w:numPr>
        <w:spacing w:after="40" w:before="40"/>
      </w:pPr>
      <w:r>
        <w:rPr>
          <w:rFonts w:ascii="Arial" w:cs="Arial" w:eastAsia="Arial" w:hAnsi="Arial"/>
          <w:color w:val="111827"/>
          <w:sz w:val="22"/>
          <w:szCs w:val="22"/>
        </w:rPr>
        <w:t xml:space="preserve">Manual closing entry: Revenue + COGS + Operating Costs</w:t>
      </w:r>
    </w:p>
    <w:p>
      <w:pPr>
        <w:pStyle w:val="ListParagraph"/>
        <w:numPr>
          <w:ilvl w:val="0"/>
          <w:numId w:val="2"/>
        </w:numPr>
        <w:spacing w:after="40" w:before="40"/>
      </w:pPr>
      <w:r>
        <w:rPr>
          <w:rFonts w:ascii="Arial" w:cs="Arial" w:eastAsia="Arial" w:hAnsi="Arial"/>
          <w:color w:val="111827"/>
          <w:sz w:val="22"/>
          <w:szCs w:val="22"/>
        </w:rPr>
        <w:t xml:space="preserve">Debit = Credit = 35,290 EUR (balanced) — fundamental principle of double-entry bookkeeping</w:t>
      </w:r>
    </w:p>
    <w:p>
      <w:pPr>
        <w:pStyle w:val="ListParagraph"/>
        <w:numPr>
          <w:ilvl w:val="0"/>
          <w:numId w:val="2"/>
        </w:numPr>
        <w:spacing w:after="40" w:before="40"/>
      </w:pPr>
      <w:r>
        <w:rPr>
          <w:rFonts w:ascii="Arial" w:cs="Arial" w:eastAsia="Arial" w:hAnsi="Arial"/>
          <w:color w:val="111827"/>
          <w:sz w:val="22"/>
          <w:szCs w:val="22"/>
        </w:rPr>
        <w:t xml:space="preserve">Chart of accounts: 1xxxxxx = Assets | 2xxxxxx = Liabilities | 3xxxxxx = Inventory | 4xxxxxx = Revenue | 5xxxxxx = COGS | 6xxxxxx = OpEx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8"/>
              <w:bottom w:val="single" w:color="CCCCCC" w:sz="1"/>
              <w:right w:val="single" w:color="CCCCCC" w:sz="1"/>
            </w:tcBorders>
            <w:shd w:fill="EFF6FF" w:val="clear"/>
            <w:tcMar>
              <w:top w:type="dxa" w:w="120"/>
              <w:left w:type="dxa" w:w="200"/>
              <w:bottom w:type="dxa" w:w="120"/>
              <w:right w:type="dxa" w:w="200"/>
            </w:tcMar>
          </w:tcPr>
          <w:p>
            <w:pPr>
              <w:spacing w:after="30" w:before="30"/>
            </w:pPr>
            <w:r>
              <w:rPr>
                <w:rFonts w:ascii="Courier New" w:cs="Courier New" w:eastAsia="Courier New" w:hAnsi="Courier New"/>
                <w:color w:val="1D3557"/>
                <w:sz w:val="20"/>
                <w:szCs w:val="20"/>
              </w:rPr>
              <w:t xml:space="preserve">FB50 posting logic:   Debit 40 (Expense/COGS) / Credit 31 (Liability/AP)</w:t>
            </w:r>
          </w:p>
          <w:p>
            <w:pPr>
              <w:spacing w:after="30" w:before="30"/>
            </w:pPr>
            <w:r>
              <w:rPr>
                <w:rFonts w:ascii="Courier New" w:cs="Courier New" w:eastAsia="Courier New" w:hAnsi="Courier New"/>
                <w:color w:val="1D3557"/>
                <w:sz w:val="20"/>
                <w:szCs w:val="20"/>
              </w:rPr>
              <w:t xml:space="preserve">F-02 posting logic:   Total Debit = Total Credit = 35,290 EUR</w:t>
            </w:r>
          </w:p>
          <w:p>
            <w:pPr>
              <w:spacing w:after="30" w:before="30"/>
            </w:pPr>
            <w:r>
              <w:rPr>
                <w:rFonts w:ascii="Courier New" w:cs="Courier New" w:eastAsia="Courier New" w:hAnsi="Courier New"/>
                <w:color w:val="1D3557"/>
                <w:sz w:val="20"/>
                <w:szCs w:val="20"/>
              </w:rPr>
              <w:t xml:space="preserve">Double-entry rule:    Every booking touches at least 2 accounts (balanced)</w:t>
            </w:r>
          </w:p>
        </w:tc>
      </w:tr>
    </w:tbl>
    <w:p>
      <w:pPr>
        <w:spacing w:after="40" w:before="40"/>
      </w:pPr>
      <w:r>
        <w:t xml:space="preserve"/>
      </w:r>
    </w:p>
    <w:p>
      <w:pPr>
        <w:spacing w:after="40" w:before="40"/>
      </w:pPr>
      <w:r>
        <w:t xml:space="preserve"/>
      </w:r>
    </w:p>
    <w:p>
      <w:pPr>
        <w:pBdr>
          <w:bottom w:val="single" w:color="E2E8F0" w:sz="4" w:space="1"/>
        </w:pBdr>
        <w:spacing w:after="80" w:before="80"/>
      </w:pPr>
      <w:r>
        <w:t xml:space="preserve"/>
      </w:r>
    </w:p>
    <w:p>
      <w:pPr>
        <w:spacing w:before="80"/>
        <w:jc w:val="center"/>
      </w:pPr>
      <w:r>
        <w:rPr>
          <w:rFonts w:ascii="Arial" w:cs="Arial" w:eastAsia="Arial" w:hAnsi="Arial"/>
          <w:color w:val="4B5563"/>
          <w:sz w:val="18"/>
          <w:szCs w:val="18"/>
        </w:rPr>
        <w:t xml:space="preserve">RetailCo Financial Analysis  ·  Yurii Oleshchuk  ·  2026  ·  Portfolio Project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1"/>
      </w:pBdr>
      <w:tabs>
        <w:tab w:val="right" w:pos="8640"/>
      </w:tabs>
    </w:pPr>
    <w:r>
      <w:rPr>
        <w:rFonts w:ascii="Arial" w:cs="Arial" w:eastAsia="Arial" w:hAnsi="Arial"/>
        <w:color w:val="4B5563"/>
        <w:sz w:val="18"/>
        <w:szCs w:val="18"/>
      </w:rPr>
      <w:t xml:space="preserve">RetailCo Financial Analysis  |  Yurii Oleshchuk  |  2026</w:t>
    </w:r>
    <w:r>
      <w:rPr>
        <w:sz w:val="18"/>
        <w:szCs w:val="18"/>
      </w:rPr>
      <w:t xml:space="preserve">	</w:t>
    </w:r>
    <w:r>
      <w:rPr>
        <w:rFonts w:ascii="Arial" w:cs="Arial" w:eastAsia="Arial" w:hAnsi="Arial"/>
        <w:color w:val="4B5563"/>
        <w:sz w:val="18"/>
        <w:szCs w:val="18"/>
      </w:rPr>
      <w:t xml:space="preserve">Seite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35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35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2026-06-15T21:17:39.049Z</dcterms:created>
  <dcterms:modified xsi:type="dcterms:W3CDTF">2026-06-15T21:17:39.050Z</dcterms:modified>
</cp:coreProperties>
</file>

<file path=docProps/custom.xml><?xml version="1.0" encoding="utf-8"?>
<Properties xmlns="http://schemas.openxmlformats.org/officeDocument/2006/custom-properties" xmlns:vt="http://schemas.openxmlformats.org/officeDocument/2006/docPropsVTypes"/>
</file>