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Speaker notes — ELITEN defense (Genspark final)</w:t>
      </w:r>
    </w:p>
    <w:p>
      <w:r>
        <w:rPr>
          <w:rFonts w:ascii="Times New Roman" w:hAnsi="Times New Roman"/>
          <w:i/>
        </w:rPr>
        <w:t>Файл: ELITEN_defense_Genspark_academic-review_final.pptx · 01.07.2026</w:t>
      </w:r>
    </w:p>
    <w:p/>
    <w:p>
      <w:pPr>
        <w:pStyle w:val="Heading2"/>
      </w:pPr>
      <w:r>
        <w:rPr>
          <w:rFonts w:ascii="Times New Roman" w:hAnsi="Times New Roman"/>
        </w:rPr>
        <w:t>Слайд 01 · ДПО МГИМО «МГИМО НЕЙРО» · Итоговая работа</w:t>
      </w:r>
    </w:p>
    <w:p>
      <w:r>
        <w:rPr>
          <w:rFonts w:ascii="Times New Roman" w:hAnsi="Times New Roman"/>
        </w:rPr>
        <w:t>Представляю итоговую работу ДПО МГИМО Нейро: проект запуска собственной торговой марки моторных масел ELITEN. Это не рекламная презентация готового продукта, а исследовательско-прикладная концепция: от анализа рынка и спроса до бренда, упаковки, ограничений и roadmap проверки.</w:t>
      </w:r>
    </w:p>
    <w:p>
      <w:pPr>
        <w:pStyle w:val="Heading2"/>
      </w:pPr>
      <w:r>
        <w:rPr>
          <w:rFonts w:ascii="Times New Roman" w:hAnsi="Times New Roman"/>
        </w:rPr>
        <w:t>Слайд 02 · 01 · Управленческая задача</w:t>
      </w:r>
    </w:p>
    <w:p>
      <w:r>
        <w:rPr>
          <w:rFonts w:ascii="Times New Roman" w:hAnsi="Times New Roman"/>
        </w:rPr>
        <w:t>Исходная задача возникла в связи с рыночными изменений после 2022 года и потребности в создания понятной продуктовой архитектуре СТМ. На текущий момент цель работы — не доказать, что продукт уже готов к запуску, а показать, как на основе данных и проверяемых гипотез сформирована концепция запуска.</w:t>
      </w:r>
    </w:p>
    <w:p>
      <w:pPr>
        <w:pStyle w:val="Heading2"/>
      </w:pPr>
      <w:r>
        <w:rPr>
          <w:rFonts w:ascii="Times New Roman" w:hAnsi="Times New Roman"/>
        </w:rPr>
        <w:t>Слайд 03 · 02 · Методология</w:t>
      </w:r>
    </w:p>
    <w:p>
      <w:r>
        <w:rPr>
          <w:rFonts w:ascii="Times New Roman" w:hAnsi="Times New Roman"/>
        </w:rPr>
        <w:t>В проекте инструменты программы курса применялись как управляемый workflow: постановка задачи, усиление промптов, Red Team, Deep Research, декомпозиция результатов, PGMM/ODSA-аудит и генерация визуальных концептов. ИИ здесь выступал не источником истины, а инструментом исследования и прототипирования.НЕ ЧИТАТЬPractical Guide to Metaphorical Mapping(практическое руководство по метафорическому мэппингу)Operational Guide for Deictic Systems Analysis (анализ дейктических систем)</w:t>
      </w:r>
    </w:p>
    <w:p>
      <w:pPr>
        <w:pStyle w:val="Heading2"/>
      </w:pPr>
      <w:r>
        <w:rPr>
          <w:rFonts w:ascii="Times New Roman" w:hAnsi="Times New Roman"/>
        </w:rPr>
        <w:t>Слайд 04 · 03 · Слои доказательности</w:t>
      </w:r>
    </w:p>
    <w:p>
      <w:r>
        <w:rPr>
          <w:rFonts w:ascii="Times New Roman" w:hAnsi="Times New Roman"/>
        </w:rPr>
        <w:t>Чтобы не смешивать разные типы доказательности, материалы были разведены по слоям. Deep Research A отвечает за рынок и бренды, Deep Research B — за SAE и продуктовую логику. Слои S2 и V1 не объединяются как одна база. Эскизы упаковки рассматриваются отдельно как concept front mockups.</w:t>
      </w:r>
    </w:p>
    <w:p>
      <w:pPr>
        <w:pStyle w:val="Heading2"/>
      </w:pPr>
      <w:r>
        <w:rPr>
          <w:rFonts w:ascii="Times New Roman" w:hAnsi="Times New Roman"/>
        </w:rPr>
        <w:t>Слайд 05 · 04 · Исследование рынка</w:t>
      </w:r>
    </w:p>
    <w:p>
      <w:r>
        <w:rPr>
          <w:rFonts w:ascii="Times New Roman" w:hAnsi="Times New Roman"/>
        </w:rPr>
        <w:t>Deep Research A фиксирует подтверждённый retail-срез 2023: лидируют LUKOIL, Gazpromneft и Rosneft, далее ZIC и Shell. После 2022 года рынок испытал шоки: уход или перестройка зарубежных операторов, включая Shell, ExxonMobil, Total и Castrol, а также резкий рост цен на ключевые 4L позиции, составляющий в том числе и на российские бренды от 121% до 134%. Это создаёт окно для СТМ, но не доказывает будущую долю рынка.</w:t>
      </w:r>
    </w:p>
    <w:p>
      <w:pPr>
        <w:pStyle w:val="Heading2"/>
      </w:pPr>
      <w:r>
        <w:rPr>
          <w:rFonts w:ascii="Times New Roman" w:hAnsi="Times New Roman"/>
        </w:rPr>
        <w:t>Слайд 06 · 05 · Динамика рынка</w:t>
      </w:r>
    </w:p>
    <w:p>
      <w:r>
        <w:rPr>
          <w:rFonts w:ascii="Times New Roman" w:hAnsi="Times New Roman"/>
        </w:rPr>
        <w:t>V1 aftermarket-proxy используется как слой динамики после изменений 2022 года. Он показывает направление: LUKOIL, ZIC, SINTEC и Rolf усиливаются, Shell, Mobil, Castrol снижаются. Это важно для интерпретации структурного сдвига в пользу российских и азиатских марок, но V1 не является retail-якорем ёмкости рынка и не должен смешиваться с S2.</w:t>
      </w:r>
    </w:p>
    <w:p>
      <w:pPr>
        <w:pStyle w:val="Heading2"/>
      </w:pPr>
      <w:r>
        <w:rPr>
          <w:rFonts w:ascii="Times New Roman" w:hAnsi="Times New Roman"/>
        </w:rPr>
        <w:t>Слайд 07 · 06 · Методологическая субординация</w:t>
      </w:r>
    </w:p>
    <w:p>
      <w:r>
        <w:rPr>
          <w:rFonts w:ascii="Times New Roman" w:hAnsi="Times New Roman"/>
        </w:rPr>
        <w:t>Важно развести термины. Розничный якорь S2 — это уровень рынка: retail 2023, Aftermarket-DATA, ёмкость 278 млн литров и доли лидеров. Тренд aftermarket V1 — это proxy-динамика после 2022 года: кто растёт и кто падает. Главное правило: S2 равно УРОВЕНЬ, V1 равно ТРЕНД, их нельзя смешивать; при расхождении для долей и ёмкости приоритет имеет S2.</w:t>
      </w:r>
    </w:p>
    <w:p>
      <w:pPr>
        <w:pStyle w:val="Heading2"/>
      </w:pPr>
      <w:r>
        <w:rPr>
          <w:rFonts w:ascii="Times New Roman" w:hAnsi="Times New Roman"/>
        </w:rPr>
        <w:t>Слайд 08 · 07 · Продуктовый анализ</w:t>
      </w:r>
    </w:p>
    <w:p>
      <w:r>
        <w:rPr>
          <w:rFonts w:ascii="Times New Roman" w:hAnsi="Times New Roman"/>
        </w:rPr>
        <w:t>Deep Research B отвечает за вязкости. В открытом срезе 1П2023 5W-30 занимает около 35%, 5W-40 около 32%; в synthetic retail они также образуют ядро: 45,9% и 51,0%. 0W-XX в Москве и МО снизился с 6% до 4%, но в 2025 именно 0W-20 стал fastest growth: +10,1% в литрах и +16% в деньгах. B2X 2026 г. снова называет 0W-20 лидером роста. 10W-40 важен как coverage-SKU: в ЮФО 49%, в Москве и МО 17%, но как declining legacy (приходящее в упадок наследие).</w:t>
      </w:r>
    </w:p>
    <w:p>
      <w:pPr>
        <w:pStyle w:val="Heading2"/>
      </w:pPr>
      <w:r>
        <w:rPr>
          <w:rFonts w:ascii="Times New Roman" w:hAnsi="Times New Roman"/>
        </w:rPr>
        <w:t>Слайд 09 · 08 · Архитектура линейки</w:t>
      </w:r>
    </w:p>
    <w:p>
      <w:r>
        <w:rPr>
          <w:rFonts w:ascii="Times New Roman" w:hAnsi="Times New Roman"/>
        </w:rPr>
        <w:t>Линейка разделена на две ветки. Classic Protect закрывает 5W-40 как массовый synthetic core и 10W-40 как legacy coverage. На это повлияли Deep Research B, PGMM/ODSA по 5W-40 и 10W-40 и roadmap-логика OST. Modern Tech закрывает 5W-30 как core/OEM и 0W-20 как growth/future driver; на решение повлияли Deep Research B, китайский парк, аналитические фреймворки (CLA/OST/RBS) и визуальные mockups Modern. Это гипотеза линейки, требующая валидации.</w:t>
      </w:r>
    </w:p>
    <w:p>
      <w:r>
        <w:rPr>
          <w:rFonts w:ascii="Times New Roman" w:hAnsi="Times New Roman"/>
        </w:rPr>
        <w:t>CLA / OST / RBS — три аналитических фреймворка из декомпозиции Deep Research B (этап 3a). Они переводят отчёт по SAE/вязкостям в решения по линейке, волнам запуска и ТЗ. Вместе с MECE идут пакетом MECE → CLA → OST → RBS.CLA — Causal Layered Analysis</w:t>
      </w:r>
    </w:p>
    <w:p>
      <w:r>
        <w:rPr>
          <w:rFonts w:ascii="Times New Roman" w:hAnsi="Times New Roman"/>
        </w:rPr>
        <w:t>Причинно-слоёный анализ</w:t>
      </w:r>
    </w:p>
    <w:p>
      <w:r>
        <w:rPr>
          <w:rFonts w:ascii="Times New Roman" w:hAnsi="Times New Roman"/>
        </w:rPr>
        <w:t>Смотрит на тренд не только «что растёт», но почему — на нескольких уровнях (факты → система → мировоззрение → метафора).OST — Opportunity Solution Tree (Дерево возможностей и решений) Связывает цель → проблемы/возможности → решения (SKU, регион) и приоритет запускаRBS — Requirements Breakdown Structure</w:t>
      </w:r>
    </w:p>
    <w:p>
      <w:r>
        <w:rPr>
          <w:rFonts w:ascii="Times New Roman" w:hAnsi="Times New Roman"/>
        </w:rPr>
        <w:t>Иерархия требований (не путать с OEM-кодом «RBS0-2AE» в отчёте Geely) Разбивает продукт на бизнес → функциональные (ТЗ) → нефункциональные (фасовка и т.д.).</w:t>
      </w:r>
    </w:p>
    <w:p>
      <w:pPr>
        <w:pStyle w:val="Heading2"/>
      </w:pPr>
      <w:r>
        <w:rPr>
          <w:rFonts w:ascii="Times New Roman" w:hAnsi="Times New Roman"/>
        </w:rPr>
        <w:t>Слайд 10 · 09 · Конкурентный анализ</w:t>
      </w:r>
    </w:p>
    <w:p>
      <w:r>
        <w:rPr>
          <w:rFonts w:ascii="Times New Roman" w:hAnsi="Times New Roman"/>
        </w:rPr>
        <w:t>В PGMM/ODSA сравнивались согласованные конкуренты: по 5W-40 — LUKOIL LUXE, Gazpromneft Premium N, Mobil Super 3000 x1; по 0W-20 — Mobil 1 и Castrol EDGE; по 10W-40 — LUKOIL SUPER, Gazpromneft Super и Mobil Super 2000 x1. Вывод: часто доминирует риторика защиты и силы, а API/OEM-информация может быть off-front, microtype или back-only. Для ELITEN это задаёт gap readable spec (понятная спецификация зазора).</w:t>
      </w:r>
    </w:p>
    <w:p>
      <w:pPr>
        <w:pStyle w:val="Heading2"/>
      </w:pPr>
      <w:r>
        <w:rPr>
          <w:rFonts w:ascii="Times New Roman" w:hAnsi="Times New Roman"/>
        </w:rPr>
        <w:t>Слайд 11 · 10 · Концепция бренда</w:t>
      </w:r>
    </w:p>
    <w:p>
      <w:r>
        <w:rPr>
          <w:rFonts w:ascii="Times New Roman" w:hAnsi="Times New Roman"/>
        </w:rPr>
        <w:t>ELITEN выбран не как luxury-обещание, а как инженерный зонтик понятного выбора продукта под задачу. Это снимает риск false premium: бренд поддерживается readable spec-логикой, качественной базой и мировыми пакетами присадок как проектной рамкой. Classic Protect отвечает за массовую и legacy-ветку, Modern Tech — за современную SAE/OEM-логику. Verum и Calibr использовались как DDx-альтернативы, а FIPS RU 1172689 вынесен отдельным проверочным слоем( зарегистрированный товарный знак).</w:t>
      </w:r>
    </w:p>
    <w:p>
      <w:pPr>
        <w:pStyle w:val="Heading2"/>
      </w:pPr>
      <w:r>
        <w:rPr>
          <w:rFonts w:ascii="Times New Roman" w:hAnsi="Times New Roman"/>
        </w:rPr>
        <w:t>Слайд 12 · 11 · Визуальные концепты</w:t>
      </w:r>
    </w:p>
    <w:p>
      <w:r>
        <w:rPr>
          <w:rFonts w:ascii="Times New Roman" w:hAnsi="Times New Roman"/>
        </w:rPr>
        <w:t>Визуальные материалы представлены только как concept front mockups. Они показывают направление дизайн-системы: единый графитовый носитель, разные ветки Classic Protect и Modern Tech, читаемая SAE/API-зона и янтарный oil ribbon как категорийный сигнал. Это не финальная этикетка.</w:t>
      </w:r>
    </w:p>
    <w:p>
      <w:pPr>
        <w:pStyle w:val="Heading2"/>
      </w:pPr>
      <w:r>
        <w:rPr>
          <w:rFonts w:ascii="Times New Roman" w:hAnsi="Times New Roman"/>
        </w:rPr>
        <w:t>Слайд 13 · 12 · Проектные ограничения</w:t>
      </w:r>
    </w:p>
    <w:p>
      <w:r>
        <w:rPr>
          <w:rFonts w:ascii="Times New Roman" w:hAnsi="Times New Roman"/>
        </w:rPr>
        <w:t>Ключевое ограничение: в открытых источниках не подтверждены доли лидеров за 2024–2026 годы, включая LUKOIL и Gazpromneft, которые лидировали в retail 2023. Их сильное присутствие в текущем retail/B2X-поле можно рассматривать как рабочую гипотезу о сохранении сильных позиций, но не как подтверждённый вывод о долях. Отдельно требуют проверки TDS, back label, юридические и коммерческие параметры.</w:t>
      </w:r>
    </w:p>
    <w:p>
      <w:pPr>
        <w:pStyle w:val="Heading2"/>
      </w:pPr>
      <w:r>
        <w:rPr>
          <w:rFonts w:ascii="Times New Roman" w:hAnsi="Times New Roman"/>
        </w:rPr>
        <w:t>Слайд 14 · 13 · План реализации</w:t>
      </w:r>
    </w:p>
    <w:p>
      <w:r>
        <w:rPr>
          <w:rFonts w:ascii="Times New Roman" w:hAnsi="Times New Roman"/>
        </w:rPr>
        <w:t>Итог работы — проверяемая концепция запуска СТМ ELITEN: рыночная рамка, SKU-гипотеза, бренд-архитектура, визуальная система и список зон проверки. Следующий этап — техническая, юридическая и коммерческая валидация перед любыми утверждениями о готовом продукте.</w:t>
      </w:r>
    </w:p>
    <w:p>
      <w:pPr>
        <w:pStyle w:val="Heading2"/>
      </w:pPr>
      <w:r>
        <w:rPr>
          <w:rFonts w:ascii="Times New Roman" w:hAnsi="Times New Roman"/>
        </w:rPr>
        <w:t>Слайд 15 · Приложение A1 · Методологический след</w:t>
      </w:r>
    </w:p>
    <w:p>
      <w:r>
        <w:rPr>
          <w:rFonts w:ascii="Times New Roman" w:hAnsi="Times New Roman"/>
        </w:rPr>
        <w:t>Приложение A1 показывает, как компетенции программы переведены в управляемый AI-workflow (Artificial Intelligence). Сначала — протокол аналитика и план этапов 0–7, затем meta-prompting через GPTOracle и Red Team для Deep Research A и B. Отдельно зафиксирована проверка результатов: декомпозиция, wiki-ingest и разведение фактов, выводов и гипотез. Это ответ комиссии на вопрос, что именно делалось методологически, а не только какой получился рыночный вывод.</w:t>
      </w:r>
    </w:p>
    <w:p>
      <w:pPr>
        <w:pStyle w:val="Heading2"/>
      </w:pPr>
      <w:r>
        <w:rPr>
          <w:rFonts w:ascii="Times New Roman" w:hAnsi="Times New Roman"/>
        </w:rPr>
        <w:t>Слайд 16 · Приложение A2 · Методологический след</w:t>
      </w:r>
    </w:p>
    <w:p>
      <w:r>
        <w:rPr>
          <w:rFonts w:ascii="Times New Roman" w:hAnsi="Times New Roman"/>
        </w:rPr>
        <w:t>Приложение A2 закрывает прикладной блок программы: PGMM выявил white space в spec-коммуникации, ODSA — риски claims и back label, DDx и проверка FIPS вне LLM обосновали выбор ELITEN. Concept front mockups связывают визуальную систему с PGMM/ODSA, а четыре аналитических фреймворка из декомпозиции В (MECE/CLA/OST/RBS) перевели отчёты в операционный чеклист. Проект дошёл от desk research до бренда, упаковки и roadmap проверки.MECE → что входит в анализ SAE (без дыр и дублей)</w:t>
      </w:r>
    </w:p>
    <w:p>
      <w:r>
        <w:rPr>
          <w:rFonts w:ascii="Times New Roman" w:hAnsi="Times New Roman"/>
        </w:rPr>
        <w:t>CLA → зачем два «мира» спроса → Modern vs Classic</w:t>
      </w:r>
    </w:p>
    <w:p>
      <w:r>
        <w:rPr>
          <w:rFonts w:ascii="Times New Roman" w:hAnsi="Times New Roman"/>
        </w:rPr>
        <w:t>OST → какие SKU, в каком порядке и регионе → 3 волны</w:t>
      </w:r>
    </w:p>
    <w:p>
      <w:r>
        <w:rPr>
          <w:rFonts w:ascii="Times New Roman" w:hAnsi="Times New Roman"/>
        </w:rPr>
        <w:t>RBS → какие требования к рецептуре и упаковке → ТЗ + 5L/4L</w:t>
      </w:r>
    </w:p>
    <w:p>
      <w:r>
        <w:rPr>
          <w:rFonts w:ascii="Times New Roman" w:hAnsi="Times New Roman"/>
        </w:rPr>
        <w:t>CLA объяснила бимodal Modern/Classic, OST задал три волны SKU по регионам, RBS — технические требования и фасовку; из этого собран roadmap и приложение B.»</w:t>
      </w:r>
    </w:p>
    <w:p>
      <w:pPr>
        <w:pStyle w:val="Heading2"/>
      </w:pPr>
      <w:r>
        <w:rPr>
          <w:rFonts w:ascii="Times New Roman" w:hAnsi="Times New Roman"/>
        </w:rPr>
        <w:t>Слайд 17 · Приложение B · Чеклист запуска</w:t>
      </w:r>
    </w:p>
    <w:p>
      <w:r>
        <w:rPr>
          <w:rFonts w:ascii="Times New Roman" w:hAnsi="Times New Roman"/>
        </w:rPr>
        <w:t>Приложение B — сводный чеклист запуска из декомпозиции Deep Research. Продукт: bimodal Classic Protect / Modern Tech и три волны — 5W-40+5W-30, затем 0W-20, 10W-40 для ЮФО. R&amp;D фиксирует рамки ТЗ и mockups 8/8, без утверждения о готовности к продаже. Маркетинг и дистрибуция — next steps: коммуникация, регионы, цена. Аналитика не осталась набором отчётов, а стала проверяемым планом следующих шагов.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