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3.png" ContentType="image/jpeg"/>
  <Override PartName="/word/media/image4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8C481" w14:textId="7F3F32AD" w:rsidR="00023F66" w:rsidRPr="003D044C" w:rsidRDefault="003D044C" w:rsidP="003D044C">
      <w:pPr>
        <w:spacing w:after="167"/>
        <w:ind w:left="1" w:firstLine="0"/>
        <w:jc w:val="center"/>
        <w:rPr>
          <w:b/>
          <w:bCs/>
          <w:noProof/>
          <w:sz w:val="40"/>
          <w:szCs w:val="40"/>
        </w:rPr>
      </w:pPr>
      <w:r>
        <w:rPr>
          <w:b/>
          <w:bCs/>
          <w:sz w:val="32"/>
          <w:szCs w:val="32"/>
        </w:rPr>
        <w:t>PROJETO: FinStart</w:t>
      </w:r>
    </w:p>
    <w:p w14:paraId="3E676AA5" w14:textId="0BE84E18" w:rsidR="00023F66" w:rsidRPr="00AF3F54" w:rsidRDefault="00023F66" w:rsidP="00113E6A">
      <w:pPr>
        <w:spacing w:after="167"/>
        <w:ind w:left="1" w:firstLine="0"/>
        <w:jc w:val="center"/>
        <w:rPr>
          <w:noProof/>
          <w:sz w:val="32"/>
          <w:szCs w:val="32"/>
        </w:rPr>
      </w:pPr>
      <w:r w:rsidRPr="00AF3F54">
        <w:rPr>
          <w:noProof/>
          <w:sz w:val="32"/>
          <w:szCs w:val="32"/>
        </w:rPr>
        <w:drawing>
          <wp:inline distT="0" distB="0" distL="0" distR="0" wp14:anchorId="2C9913C9" wp14:editId="0798CC75">
            <wp:extent cx="3302000" cy="3302000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687F" w14:textId="73542849" w:rsidR="00023F66" w:rsidRPr="006340A6" w:rsidRDefault="00023F66" w:rsidP="00AF3F54">
      <w:pPr>
        <w:spacing w:after="167"/>
        <w:ind w:left="1" w:firstLine="0"/>
        <w:rPr>
          <w:noProof/>
        </w:rPr>
      </w:pPr>
      <w:r>
        <w:rPr>
          <w:b/>
          <w:noProof/>
        </w:rPr>
        <w:t>Curso: Ciência de Dados e IA</w:t>
      </w:r>
    </w:p>
    <w:p w14:paraId="40C5E6E5" w14:textId="06B6AEBB" w:rsidR="006C01E8" w:rsidRPr="006340A6" w:rsidRDefault="00023F66" w:rsidP="00AF3F54">
      <w:pPr>
        <w:spacing w:after="167"/>
        <w:ind w:left="1" w:firstLine="0"/>
      </w:pPr>
      <w:r>
        <w:rPr>
          <w:b/>
          <w:noProof/>
        </w:rPr>
        <w:t>Disciplina: PI: Programação Web Código: 2181161</w:t>
      </w:r>
    </w:p>
    <w:p w14:paraId="316C66EF" w14:textId="76850CD5" w:rsidR="00023F66" w:rsidRPr="006340A6" w:rsidRDefault="00023F66" w:rsidP="00AF3F54">
      <w:pPr>
        <w:spacing w:after="167"/>
        <w:ind w:left="1" w:firstLine="0"/>
      </w:pPr>
      <w:r>
        <w:rPr>
          <w:b/>
          <w:bCs/>
          <w:noProof/>
        </w:rPr>
        <w:t>Turma: 101</w:t>
      </w:r>
    </w:p>
    <w:p w14:paraId="5AE1F0F7" w14:textId="4551A2B4" w:rsidR="00023F66" w:rsidRPr="006340A6" w:rsidRDefault="00023F66" w:rsidP="00AF3F54">
      <w:pPr>
        <w:spacing w:after="167"/>
        <w:ind w:left="1" w:firstLine="0"/>
        <w:rPr>
          <w:noProof/>
        </w:rPr>
      </w:pPr>
      <w:r>
        <w:rPr>
          <w:b/>
          <w:noProof/>
        </w:rPr>
        <w:t>Professor: Fernando Luiz de Almeida Silveira</w:t>
      </w:r>
    </w:p>
    <w:p w14:paraId="7243413F" w14:textId="4ECFAE2A" w:rsidR="006340A6" w:rsidRPr="006340A6" w:rsidRDefault="00023F66" w:rsidP="00AF3F54">
      <w:pPr>
        <w:spacing w:after="167"/>
        <w:ind w:left="1" w:firstLine="0"/>
        <w:rPr>
          <w:noProof/>
        </w:rPr>
      </w:pPr>
      <w:r w:rsidRPr="006340A6">
        <w:rPr>
          <w:noProof/>
        </w:rPr>
        <w:t xml:space="preserve"> </w:t>
      </w:r>
    </w:p>
    <w:p w14:paraId="20C53C1F" w14:textId="695B0579" w:rsidR="00023F66" w:rsidRPr="006340A6" w:rsidRDefault="003D044C" w:rsidP="00AF3F54">
      <w:pPr>
        <w:spacing w:after="167"/>
        <w:ind w:left="1" w:firstLine="0"/>
        <w:rPr>
          <w:noProof/>
        </w:rPr>
      </w:pPr>
      <w:r>
        <w:rPr>
          <w:b/>
          <w:noProof/>
        </w:rPr>
        <w:t>Nome do Grupo: FinStart</w:t>
      </w:r>
    </w:p>
    <w:p w14:paraId="31CE7DBA" w14:textId="08E2974A" w:rsidR="00023F66" w:rsidRPr="006340A6" w:rsidRDefault="00023F66" w:rsidP="00AF3F54">
      <w:pPr>
        <w:spacing w:after="167"/>
        <w:ind w:left="1" w:firstLine="0"/>
        <w:rPr>
          <w:b/>
          <w:noProof/>
        </w:rPr>
      </w:pPr>
      <w:r>
        <w:rPr>
          <w:b/>
          <w:noProof/>
        </w:rPr>
        <w:t>Gabriel Polli Perin – RA: 25007439</w:t>
      </w:r>
    </w:p>
    <w:p w14:paraId="224EDA12" w14:textId="72D43B01" w:rsidR="00023F66" w:rsidRPr="006340A6" w:rsidRDefault="00023F66" w:rsidP="00AF3F54">
      <w:pPr>
        <w:spacing w:after="167"/>
        <w:ind w:left="1" w:firstLine="0"/>
        <w:rPr>
          <w:noProof/>
        </w:rPr>
      </w:pPr>
      <w:r>
        <w:rPr>
          <w:b/>
          <w:noProof/>
        </w:rPr>
        <w:t>Yuri Kikuchi – RA: 25007272</w:t>
      </w:r>
    </w:p>
    <w:p w14:paraId="4610B8AF" w14:textId="46FD53CA" w:rsidR="00023F66" w:rsidRPr="006340A6" w:rsidRDefault="00023F66" w:rsidP="00AF3F54">
      <w:pPr>
        <w:spacing w:after="167"/>
        <w:ind w:left="1" w:firstLine="0"/>
        <w:rPr>
          <w:noProof/>
        </w:rPr>
      </w:pPr>
      <w:r>
        <w:rPr>
          <w:b/>
          <w:noProof/>
        </w:rPr>
        <w:t>Enzo Cayres Ferreira – RA: 25000144</w:t>
      </w:r>
    </w:p>
    <w:p w14:paraId="50B096E4" w14:textId="50D5C84E" w:rsidR="00023F66" w:rsidRPr="006340A6" w:rsidRDefault="00023F66" w:rsidP="00AF3F54">
      <w:pPr>
        <w:spacing w:after="167"/>
        <w:ind w:left="1" w:firstLine="0"/>
        <w:rPr>
          <w:b/>
          <w:noProof/>
        </w:rPr>
      </w:pPr>
      <w:r>
        <w:rPr>
          <w:b/>
          <w:noProof/>
        </w:rPr>
        <w:t>Eduardo dos Santos Fernandez – RA: 25000693</w:t>
      </w:r>
    </w:p>
    <w:p w14:paraId="0A89EABE" w14:textId="1A01AF57" w:rsidR="00023F66" w:rsidRPr="006340A6" w:rsidRDefault="00023F66" w:rsidP="00AF3F54">
      <w:pPr>
        <w:spacing w:after="167"/>
        <w:ind w:left="1" w:firstLine="0"/>
        <w:rPr>
          <w:b/>
          <w:noProof/>
        </w:rPr>
      </w:pPr>
      <w:r>
        <w:rPr>
          <w:b/>
          <w:noProof/>
        </w:rPr>
        <w:t>Paulo Henrique Scavariello Guimarães – RA: 25017738</w:t>
      </w:r>
    </w:p>
    <w:p w14:paraId="2430CFBF" w14:textId="77777777" w:rsidR="006340A6" w:rsidRDefault="006340A6" w:rsidP="00113E6A">
      <w:pPr>
        <w:spacing w:after="167"/>
        <w:ind w:left="1" w:firstLine="0"/>
        <w:jc w:val="center"/>
        <w:rPr>
          <w:b/>
          <w:noProof/>
          <w:sz w:val="28"/>
          <w:szCs w:val="28"/>
        </w:rPr>
      </w:pPr>
    </w:p>
    <w:p w14:paraId="0231420D" w14:textId="77777777" w:rsidR="006340A6" w:rsidRDefault="006340A6" w:rsidP="00113E6A">
      <w:pPr>
        <w:spacing w:after="167"/>
        <w:ind w:left="1" w:firstLine="0"/>
        <w:jc w:val="center"/>
        <w:rPr>
          <w:b/>
          <w:noProof/>
          <w:sz w:val="28"/>
          <w:szCs w:val="28"/>
        </w:rPr>
      </w:pPr>
    </w:p>
    <w:p w14:paraId="2D78D2D9" w14:textId="5C70C249" w:rsidR="00023F66" w:rsidRDefault="00023F66" w:rsidP="00113E6A">
      <w:pPr>
        <w:spacing w:after="167"/>
        <w:ind w:left="1" w:firstLine="0"/>
        <w:jc w:val="center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Campinas, 2º semestre de 2026</w:t>
      </w:r>
    </w:p>
    <w:p w14:paraId="49E57680" w14:textId="77777777" w:rsidR="003A1F9D" w:rsidRDefault="003A1F9D" w:rsidP="00113E6A">
      <w:pPr>
        <w:spacing w:after="167"/>
        <w:ind w:left="1" w:firstLine="0"/>
        <w:jc w:val="center"/>
        <w:rPr>
          <w:b/>
          <w:noProof/>
          <w:sz w:val="28"/>
          <w:szCs w:val="28"/>
        </w:rPr>
      </w:pPr>
    </w:p>
    <w:p w14:paraId="0932D711" w14:textId="77777777" w:rsidR="006C01E8" w:rsidRDefault="006C01E8" w:rsidP="00113E6A">
      <w:pPr>
        <w:spacing w:after="167"/>
        <w:ind w:left="1" w:firstLine="0"/>
        <w:jc w:val="center"/>
        <w:rPr>
          <w:noProof/>
          <w:sz w:val="28"/>
          <w:szCs w:val="28"/>
        </w:rPr>
      </w:pPr>
    </w:p>
    <w:p>
      <w:pPr>
        <w:keepNext/>
        <w:pageBreakBefore/>
        <w:spacing w:before="280" w:beforeAutospacing="1" w:after="100" w:afterAutospacing="1" w:line="240" w:lineRule="auto"/>
        <w:ind w:left="0" w:firstLine="0"/>
        <w:outlineLvl w:val="1"/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</w:pPr>
      <w:r>
        <w:rPr>
          <w:rFonts w:ascii="Arial" w:hAnsi="Arial"/>
          <w:b/>
          <w:color w:val="000000"/>
          <w:sz w:val="32"/>
        </w:rPr>
        <w:t>1. Ideação do Projeto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3ª entrega: consolidação da implementação. Atualização da publicação em 29/10/2026.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A FinStart é uma plataforma gratuita de educação financeira para jovens que estão começando a organizar renda, despesas e objetivos. Reúne conteúdos educativos, orçamento, projeções de juros compostos e acompanhamento de metas. O problema abordado é a dificuldade de transformar conceitos financeiros em decisões e hábitos de planejamento.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O público inicialmente definido é de jovens de 16 a 30 anos e pessoas com pouco conhecimento sobre finanças. A aplicação não verifica idade nem coleta data de nascimento. A proposta mantém o eixo aprender, simular e planejar, sem movimentar dinheiro ou recomendar produtos financeiros individuais.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A ODS 4 é a contribuição principal, pelo acesso a conhecimento e habilidades de planejamento. A relação com a ODS 8 é indireta: compreender serviços e organizar recursos pode apoiar decisões financeiras. A plataforma não comprova geração de renda, empregos ou impacto econômico mensurável.</w:t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Histórico e escopo desta revisão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A primeira proposta concentrava-se no front-end e em armazenamento no navegador. Após o retorno do professor, a arquitetura foi revista para Full Stack. A segunda entrega formalizou HTML/CSS/JavaScript, Node.js/Express, API REST, MySQL e autenticação JWT. Esta revisão apresenta a implementação dessas camadas e as correções posteriores; não atribui os recursos atuais à entrega original de 01/10/2026.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A versão publicada utiliza MySQL persistente na Aiven, API Node.js/Express no Render e interface na Vercel. A instância MySQL local documentada durante o desenvolvimento continua sendo uma alternativa independente. Seus dados pessoais não foram enviados ao banco online. SQLite permanece como alternativa local e de testes; a produção exige MySQL.</w:t>
      </w:r>
    </w:p>
    <w:p>
      <w:pPr>
        <w:keepNext/>
        <w:pageBreakBefore w:val="0"/>
        <w:spacing w:before="280" w:beforeAutospacing="1" w:after="100" w:afterAutospacing="1" w:line="240" w:lineRule="auto"/>
        <w:ind w:left="0" w:firstLine="0"/>
        <w:outlineLvl w:val="1"/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</w:pPr>
      <w:r>
        <w:rPr>
          <w:rFonts w:ascii="Arial" w:hAnsi="Arial"/>
          <w:b/>
          <w:color w:val="000000"/>
          <w:sz w:val="32"/>
        </w:rPr>
        <w:t>2. Protótipo da Solução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O conjunto de telas foi ampliado para representar a jornada do MVP. Início apresenta as ferramentas; Aprender oferece leitura por assunto e nível; Orçamento organiza a renda; Juros e Comparar apresentam cenários; Metas registra objetivos; Meu painel reúne dados da conta; Sobre explica a proposta. O painel aparece no fim do menu, à direita no desktop.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A identidade visual permanece preta e dourada. O menu recolhe em telas pequenas, os campos têm rótulos, o foco de teclado é visível e os gráficos possuem tabelas equivalentes. Estados vazios, avisos de erro e confirmação de operações orientam o uso.</w:t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jc w:val="center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</w:r>
      <w:r>
        <w:drawing>
          <wp:inline xmlns:a="http://schemas.openxmlformats.org/drawingml/2006/main" xmlns:pic="http://schemas.openxmlformats.org/drawingml/2006/picture">
            <wp:extent cx="5508000" cy="3100155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render-avanca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100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0"/>
        </w:rPr>
        <w:t>Figura 1 — Biblioteca com filtro avançado, referências oficiais e leitura expansível. Captura da revisão de 28/10/2026.</w:t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Fluxos centrais implementados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Visitante: ler conteúdo → simular orçamento ou juros → comparar hipóteses. Conta autenticada: entrar → salvar simulação → criar ou editar meta → registrar saldo → consultar gráfico e painel. Os dados financeiros persistem no servidor; a preferência de filtro pode ficar no navegador.</w:t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jc w:val="center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</w:r>
      <w:r>
        <w:drawing>
          <wp:inline xmlns:a="http://schemas.openxmlformats.org/drawingml/2006/main" xmlns:pic="http://schemas.openxmlformats.org/drawingml/2006/picture">
            <wp:extent cx="1496305" cy="3239999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render-mobile-revis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96305" cy="32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0"/>
        </w:rPr>
        <w:t>Figura 2 — Biblioteca em viewport de 390 px. Teste em navegador; não representa teste em aparelho físico.</w:t>
      </w:r>
    </w:p>
    <w:p>
      <w:pPr>
        <w:keepNext/>
        <w:pageBreakBefore w:val="0"/>
        <w:spacing w:before="280" w:beforeAutospacing="1" w:after="100" w:afterAutospacing="1" w:line="240" w:lineRule="auto"/>
        <w:ind w:left="0" w:firstLine="0"/>
        <w:outlineLvl w:val="1"/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</w:pPr>
      <w:r>
        <w:rPr>
          <w:rFonts w:ascii="Arial" w:hAnsi="Arial"/>
          <w:b/>
          <w:color w:val="000000"/>
          <w:sz w:val="32"/>
        </w:rPr>
        <w:t>3. Planejamento do Projeto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7257"/>
      </w:tblGrid>
      <w:tr>
        <w:trPr>
          <w:cantSplit/>
          <w:tblHeader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Prioridade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Item e critério de conclusão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P1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Conta e SQL: cadastro, login, logout e isolamento dos registros verificados.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P1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Ferramentas: orçamento, projeções, comparação e metas com gravação e consulta.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P1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Progresso: prazo, aporte mensal necessário, atualização do saldo e histórico.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P2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Aprendizagem: 15 conteúdos com fontes, busca, categorias e três níveis.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P2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Qualidade: testes de API, responsividade, documentação e preservação de dados.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P2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Entrega: revisão pelo grupo, publicação e apresentação oral.</w:t>
            </w:r>
          </w:p>
        </w:tc>
      </w:tr>
    </w:tbl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6"/>
        </w:rPr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Kanban e acompanhamento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Concluído: MVP integrado, publicação HTTPS, banco Aiven, testes visuais e mobile online, persistência após reinício da API e backup externo com restauração isolada. A Vercel publica automaticamente a cópia de Yuri no GitHub; o Render usa essa mesma origem, com atualização manual documentada. Pendentes: automação do Render por integração Git, revisão do grupo e envio no Canvas. O quadro anterior em docs/kanban.json registra a revisão local de 28/10; docs/VALIDACAO-FINAL.md registra esta rodada.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O quadro registra o trabalho observável desta revisão. Não há evidência suficiente para reconstruir movimentações, reuniões ou sprints anteriores; por isso, esses eventos não são apresentados como realizados. Para os próximos ciclos, cada item deve ter responsável, critério de conclusão e evidência.</w:t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Divisão prevista na segunda entrega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Paulo: autenticação e juros; Eduardo: dados e metas; Enzo: API; Gabriel: progresso e gráficos; Yuri: conteúdos e acompanhamento. Essa distribuição é a prevista no planejamento e precisa ser confirmada pelo grupo para a apresentação; não comprova autoria individual das alterações atuais.</w:t>
      </w:r>
    </w:p>
    <w:p>
      <w:pPr>
        <w:keepNext/>
        <w:pageBreakBefore w:val="0"/>
        <w:spacing w:before="280" w:beforeAutospacing="1" w:after="100" w:afterAutospacing="1" w:line="240" w:lineRule="auto"/>
        <w:ind w:left="0" w:firstLine="0"/>
        <w:outlineLvl w:val="1"/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</w:pPr>
      <w:r>
        <w:rPr>
          <w:rFonts w:ascii="Arial" w:hAnsi="Arial"/>
          <w:b/>
          <w:color w:val="000000"/>
          <w:sz w:val="32"/>
        </w:rPr>
        <w:t>4. Levantamento de Requisitos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04"/>
        <w:gridCol w:w="7370"/>
      </w:tblGrid>
      <w:tr>
        <w:trPr>
          <w:cantSplit/>
          <w:tblHeader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ID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Requisito e situação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RF01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Cadastrar, autenticar e encerrar sessão: implementado.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RF02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Consultar conteúdos por assunto, categoria e nível: implementado.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RF03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Calcular e salvar orçamento 50/30/20: implementado.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RF04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Projetar juros compostos e mostrar evolução em gráfico/tabela: implementado.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RF05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Comparar cenários e salvar resultados: implementado com taxas hipotéticas.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RF06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Criar, consultar, editar e excluir metas com prazo: implementado.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RF07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Registrar progresso e calcular aporte mensal necessário: implementado.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RF08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Consultar painel e históricos exclusivos da conta: implementado.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RNF01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Separar front-end, API, regras de domínio e persistência SQL.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RNF02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Validar entradas no servidor e restringir operações ao proprietário.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RNF03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Aceitar uso responsivo, teclado e leitura tabular dos gráficos.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RNF04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Manter configuração privada fora do Git, com backup e instruções de execução.</w:t>
            </w:r>
          </w:p>
        </w:tc>
      </w:tr>
    </w:tbl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6"/>
        </w:rPr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Regras de negócio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O orçamento distribui a renda em 50% necessidades, 30% desejos e 20% futuro como referência educativa. Valores monetários persistem em centavos inteiros. Juros usam taxa mensal constante e aportes ao fim de cada mês. A comparação converte taxas anuais hipotéticas em taxas mensais equivalentes, com os mesmos valores e prazo.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A meta contém valor-alvo, saldo, prazo e data inicial. O saldo não pode ser negativo nem superar o alvo. A atualização e o registro de progresso ocorrem na mesma transação. O aporte necessário divide o valor restante pelos meses restantes, sem supor rendimento. Registros privados exigem sessão válida e pertencimento à conta.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As projeções não descontam inflação, taxas ou tributos. Recuperação de senha, verificação de e-mail, produtos reais e cotações não estão implementados. A hospedagem pública HTTPS já está disponível.</w:t>
      </w:r>
    </w:p>
    <w:p>
      <w:pPr>
        <w:keepNext/>
        <w:pageBreakBefore w:val="0"/>
        <w:spacing w:before="280" w:beforeAutospacing="1" w:after="100" w:afterAutospacing="1" w:line="240" w:lineRule="auto"/>
        <w:ind w:left="0" w:firstLine="0"/>
        <w:outlineLvl w:val="1"/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</w:pPr>
      <w:r>
        <w:rPr>
          <w:rFonts w:ascii="Arial" w:hAnsi="Arial"/>
          <w:b/>
          <w:color w:val="000000"/>
          <w:sz w:val="32"/>
        </w:rPr>
        <w:t>5. Desenvolvimento do Projeto</w:t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Arquitetura e organização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Na publicação, o navegador carrega HTML/CSS/JavaScript da Vercel e envia fetch/JSON para /api no mesmo domínio. O proxy encaminha a requisição ao Node.js 24/Express no Render; controllers acessam o MySQL da Aiven por conexão TLS. O navegador não recebe credenciais SQL. O backend mantém organização em camadas; a infraestrutura distribui frontend, aplicação e banco.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server/index.js organiza as rotas; controllers.js executa as operações; auth.js trata autenticação; mysql.js e database.js oferecem persistência; dominio.js e financas.js concentram regras de cálculo. database/ reúne os scripts SQL, tests/ reúne verificações e docs/ contém relatório e evidências. Scripts de inicialização, configuração e backup são utilitários operacionais necessários.</w:t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Modelo de dados atualizado</w:t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jc w:val="center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</w:r>
      <w:r>
        <w:drawing>
          <wp:inline xmlns:a="http://schemas.openxmlformats.org/drawingml/2006/main" xmlns:pic="http://schemas.openxmlformats.org/drawingml/2006/picture">
            <wp:extent cx="5508000" cy="3278571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27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0"/>
        </w:rPr>
        <w:t>Figura 3 — DER físico simplificado. Cada ligação representa relação 1:N; simulacao_investimento possui chave primária composta e implementa a associação entre projeção e cenário.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5669"/>
      </w:tblGrid>
      <w:tr>
        <w:trPr>
          <w:cantSplit/>
          <w:tblHeader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Tabela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Função e relacionamento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usuarios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Conta; email único e senha_hash. Pai de sessões, orçamentos, metas e juros.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sessoes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Sessão revogável; usuario_id referencia usuarios.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simulacoes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Orçamentos; usuario_id referencia usuarios.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metas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Objetivo, alvo, saldo, prazo, início e status; usuario_id referencia usuarios.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progresso_meta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Variação e saldo por registro; meta_id referencia metas.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juros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Plano de projeção; usuario_id referencia usuarios.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categoria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Classificação dos conteúdos.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conteudo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Texto, nível, referências e data; categoria_id referencia categoria.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tipo_investimento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Cenário didático com taxa anual declarada.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simulacao_investimento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Resultado por juros_id e tipo_investimento_id; duas FKs e PK composta.</w:t>
            </w:r>
          </w:p>
        </w:tc>
      </w:tr>
    </w:tbl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6"/>
        </w:rPr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O catálogo físico contém 10 tabelas, 8 chaves estrangeiras e 51 colunas. Há chaves primárias, unicidade, checks e exclusão em cascata nas relações de propriedade. O script executável é database/schema.mysql.sql; database/consultas-demonstracao.mysql.sql permite inspecionar tabelas, colunas e relacionamentos sem alterar registros.</w:t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Conciliação com o MER anterior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As entidades usuario e meta usam os nomes físicos usuarios e metas. A projeção planejada como simulacao é armazenada em juros, enquanto simulacoes identifica o orçamento. As entidades categoria, conteudo, tipo_investimento, simulacao_investimento e progresso_meta foram implementadas. Sessões e orçamento complementam as oito entidades do planejamento. Novos atributos operacionais incluem prazo, status e referências do conteúdo; nascimento foi omitido por minimização de dados.</w:t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Conexão MySQL e migração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Durante o desenvolvimento, foi criada uma instância MySQL exclusiva em 127.0.0.1:3308, preservando o serviço anterior e seus dados. Essa configuração local não é o banco usado pelo endereço público. Na publicação, o backend conecta ao MySQL da Aiven com variáveis privadas e validação do certificado TLS; contas locais e online são independentes.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Na migração local, um backup SQLite foi preservado e os registros foram copiados com IDs, hashes e relacionamentos conferidos. O procedimento está em scripts/configurar-mysql-local.js. Essa migração histórica não transferiu contas para a Aiven.</w:t>
      </w:r>
    </w:p>
    <w:p>
      <w:pPr>
        <w:keepNext/>
        <w:keepLines w:val="0"/>
        <w:pageBreakBefore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Rotas e segurança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4706"/>
      </w:tblGrid>
      <w:tr>
        <w:trPr>
          <w:cantSplit/>
          <w:tblHeader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Rotas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Finalidade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GET /api/conteudos e /api/tipos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Catálogo público e cenários.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POST /api/calcular e /api/comparar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Cálculos validados no servidor.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POST /api/cadastro e /api/login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Criação de conta e autenticação.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GET /api/me; POST /api/logout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Conta atual e revogação da sessão.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GET/POST /api/simulacoes e /api/juros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Orçamentos e projeções por usuário.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GET/POST /api/comparacoes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Comparações persistidas por conta.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GET/POST /api/metas; PUT /api/metas/:id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Criação, consulta e edição de metas.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GET /api/metas/:id/progresso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Histórico protegido de saldo.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DELETE /api/{recurso}/:id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Exclusão autorizada dos recursos suportados.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GET /api/saude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Teste da conexão real com SQL.</w:t>
            </w:r>
          </w:p>
        </w:tc>
      </w:tr>
    </w:tbl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6"/>
        </w:rPr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Senhas usam scrypt com salt. JWT possui assinatura HS256, expiração e verificação no servidor, associado a sessão revogável. O cookie é HttpOnly e SameSite=Strict, com Secure em produção. Consultas parametrizadas e filtros por proprietário protegem os registros. A API limita corpo e tentativas de autenticação e valida entradas e origem.</w:t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Integração demonstrada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Cadastro: formulário → validação e hash → INSERT usuarios. Login: verificação da senha → sessão/JWT → cookie. Meta: formulário autenticado → UPDATE metas e INSERT progresso_meta na mesma transação → consulta do histórico → gráfico/tabela. Comparação: cálculo dos cenários → INSERT juros e resultados associados → consulta no painel.</w:t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jc w:val="center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</w:r>
      <w:r>
        <w:drawing>
          <wp:inline xmlns:a="http://schemas.openxmlformats.org/drawingml/2006/main" xmlns:pic="http://schemas.openxmlformats.org/drawingml/2006/picture">
            <wp:extent cx="2872958" cy="324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cao-mysql-deskt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2958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0"/>
        </w:rPr>
        <w:t>Figura 4 — Comparação salva em teste integrado com MySQL e dados fictícios. As taxas são hipóteses didáticas.</w:t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jc w:val="center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</w:r>
      <w:r>
        <w:drawing>
          <wp:inline xmlns:a="http://schemas.openxmlformats.org/drawingml/2006/main" xmlns:pic="http://schemas.openxmlformats.org/drawingml/2006/picture">
            <wp:extent cx="4879285" cy="324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as-mysql-deskt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9285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0"/>
        </w:rPr>
        <w:t>Figura 5 — Meta e progresso consultados pela API em teste integrado com MySQL. Dados fictícios de demonstração.</w:t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Aplicação das boas práticas das aulas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Foram confrontados os 15 PDFs fornecidos, totalizando 312 páginas, com o código e os critérios da atividade. Os princípios aplicáveis foram incorporados sem tratar exemplos didáticos como requisitos obrigatórios de infraestrutura.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5669"/>
      </w:tblGrid>
      <w:tr>
        <w:trPr>
          <w:cantSplit/>
          <w:tblHeader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Aulas e foco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Aplicação verificada / decisão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01 — problema, público e ODS (22 p.)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Público de 16–30 anos, educação gratuita, ODS 4 principal e contribuição indireta à ODS 8; sem promessa de renda.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02 — ciclo, Scrum e Kanban (32 p.)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Backlog por prioridade, definição de concluído, quadro e registro datado da revisão. Reuniões anteriores não comprovadas não são declaradas.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03 — UI/UX (17 p.)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Jornada completa, identidade preto/dourado, estados vazios, feedback, prevenção de exclusão acidental e navegação consistente.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04 — arquitetura (25 p.)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Monólito em camadas, Express/API/controllers/adaptadores SQL; decisões e diferenças documentadas.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05 — Git e organização (18 p.)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Código formatado, README operacional, dependências fixadas, diretórios de servidor/SQL/testes/docs e .gitignore de dados privados.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06 — HTML e SEO (28 p.)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HTML5, idioma, UTF-8, viewport, títulos e descrições; conta marcada noindex; landmarks e texto alternativo.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07 — semântica textual (17 p.)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Hierarquia h1/h2/h3, parágrafos e conteúdos por nível com referências oficiais.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08 — listas e tabelas (22 p.)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Menu em lista; tabela de dados junto dos gráficos, caption, thead/tbody e cabeçalhos scope. Não se usa tabela para layout do site.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09 — formulários (15 p.)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Labels, required, tipos, limites, agrupamento em fieldset no comparativo; credenciais em POST; validação no servidor.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10 — CSS (19 p.)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Estilo externo, variáveis, fonte de sistema, foco visível e contraste; remoção do CSS inline do orçamento.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11 — layout e responsividade (23 p.)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Grid/Flex, controles de toque, menu mobile, tabelas com área de rolagem. Novos componentes com base mobile e expansão por min-width.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12 — JavaScript (17 p.)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Módulos, const/let, funções reutilizáveis, conversão numérica explícita, regras de domínio e limites verificados.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13 — DOM e eventos (25 p.)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addEventListener, preventDefault, input/change, DOM com textContent, aria-invalid e avisos de operação.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14 — Storage (11 p.)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sessionStorage somente para preferências de categoria e nível; contas, metas e simulações no SQL.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15 — JWT (21 p.)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JWT real assinado/expirado/verificado no servidor e sessão revogável. Cookie HttpOnly; o exemplo didático de token simulado em Storage não é usado como segurança.</w:t>
            </w:r>
          </w:p>
        </w:tc>
      </w:tr>
    </w:tbl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6"/>
        </w:rPr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Biblioteca e referências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A biblioteca reúne 15 resumos: cinco básicos, cinco intermediários e cinco avançados, distribuídos por 13 categorias. Inclui orçamento, reserva, inflação, crédito, diversificação, metas, segurança, renda fixa, custos e riscos. Cada artigo identifica as fontes oficiais e a data de consulta; busca textual e filtros podem ser combinados.</w:t>
      </w:r>
    </w:p>
    <w:p>
      <w:pPr>
        <w:keepNext/>
        <w:pageBreakBefore w:val="0"/>
        <w:spacing w:before="280" w:beforeAutospacing="1" w:after="100" w:afterAutospacing="1" w:line="240" w:lineRule="auto"/>
        <w:ind w:left="0" w:firstLine="0"/>
        <w:outlineLvl w:val="1"/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</w:pPr>
      <w:r>
        <w:rPr>
          <w:rFonts w:ascii="Arial" w:hAnsi="Arial"/>
          <w:b/>
          <w:color w:val="000000"/>
          <w:sz w:val="32"/>
        </w:rPr>
        <w:t>6. Testes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A revisão local de 28/10 registrou dez testes aprovados e integração MySQL separada. Na preparação de produção, a suíte registrou 11 testes aprovados e um teste MySQL opcional ignorado. Em 29/10, scripts/verificar-online.mjs foi executado contra o domínio público da Vercel, exercitando proxy, API e MySQL reais com contas fictícias. Os resultados abaixo distinguem a verificação local das evidências online; não constituem auditoria completa de segurança.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5783"/>
      </w:tblGrid>
      <w:tr>
        <w:trPr>
          <w:cantSplit/>
          <w:tblHeader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Verificação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Resultado e alcance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Autenticação e autorização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Cadastro/login/logout, JWT e isolamento entre contas aprovados.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CRUD e persistência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Orçamento, juros, metas e comparações; leitura após reabertura aprovada.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Transações MySQL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Rollback e relacionamentos/cascatas comprovados no teste isolado.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Cálculos e validação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Aportes ao fim do mês, taxa zero, limites e entradas inválidas verificados.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HTTP e formulários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JSON inválido, tamanho, origem e UTF-8; envio de credenciais protegido.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Migração local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Todos os campos originais comparados antes do commit; SQLite preservado.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Responsividade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Oito páginas online em 320, 390, 768 e 1280 px; menu, tabelas e fluxos mobile verificados nesta rodada. Sem teste em aparelho físico.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Aprendizagem</w:t>
            </w:r>
          </w:p>
        </w:tc>
        <w:tc>
          <w:tcPr>
            <w:tcW w:type="dxa" w:w="57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15 conteúdos, cinco por nível, fontes HTTPS, busca, filtros e estado vazio verificados.</w:t>
            </w:r>
          </w:p>
        </w:tc>
      </w:tr>
    </w:tbl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6"/>
        </w:rPr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Casos para reprodução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Juros: R$ 1.000 iniciais, R$ 200 ao fim de cada mês, taxa de 0,5% mensal e 24 meses resultam em R$ 6.213,55; o valor investido é R$ 5.800 e os juros, R$ 413,55. Meta: alvo de R$ 6.000 em 12 meses e saldo inicial de R$ 1.500 indicam 25% e aporte de R$ 375, enquanto restarem 12 meses.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Consultar docs/evidencias/testes.json, mysql.json, endpoints.json, banco.json e biblioteca-breakpoints.json. As evidências SQLite documentam os testes dessa alternativa; mysql.json documenta o esquema MySQL. As capturas com dados fictícios demonstram o sistema em execução. Não foram realizados testes em aparelho físico ou uma auditoria completa com leitores de tela.</w:t>
      </w:r>
    </w:p>
    <w:p>
      <w:pPr>
        <w:spacing w:after="120"/>
      </w:pPr>
      <w:r>
        <w:rPr>
          <w:rFonts w:ascii="Arial" w:hAnsi="Arial"/>
          <w:sz w:val="24"/>
        </w:rPr>
        <w:t>Verificação da publicação em 29/10/2026</w:t>
      </w:r>
    </w:p>
    <w:p>
      <w:pPr>
        <w:spacing w:after="120"/>
      </w:pPr>
      <w:r>
        <w:rPr>
          <w:rFonts w:ascii="Arial" w:hAnsi="Arial"/>
          <w:sz w:val="24"/>
        </w:rPr>
        <w:t>O script scripts/verificar-online.mjs foi executado novamente pelo domínio público após as atualizações. Passaram: saúde SQL, cadastro, login, cookie Secure/HttpOnly/SameSite=Strict, cálculos, gravação e consulta das ferramentas, progresso, comparação, isolamento entre contas, logout, recuperação em novo login e exclusão dos registros fictícios. Contas de teste permanecem; não se presume que existam somente duas. Dados inseridos posteriormente foram preservados.</w:t>
      </w:r>
    </w:p>
    <w:p>
      <w:pPr>
        <w:spacing w:after="120"/>
      </w:pPr>
      <w:r>
        <w:rPr>
          <w:rFonts w:ascii="Arial" w:hAnsi="Arial"/>
          <w:sz w:val="24"/>
        </w:rPr>
        <w:t>Na interface publicada, foram verificados cadastro, login, orçamento, projeção, meta, edição e histórico, comparação, biblioteca e exclusões. Playwright com Microsoft Edge verificou as oito páginas em 320, 390, 768 e 1280 px: sem transbordamento horizontal e sem erros JavaScript na rodada final. Menu mobile, gráficos e tabelas foram exercitados. O teste não representa uso em aparelho físico. Após reinício controlado da API às 23h23, a meta de R$ 6.000 com R$ 1.500 guardados foi recuperada em nova aba e recarga. Caminhos privados retornaram 404. Evidências: docs/evidencias/validacao-final/.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3240000" cy="7681234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uros-onl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681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6 - Projeção calculada no site público da Vercel em 29/10/2026. Evidência: docs/juros-online.png.</w:t>
      </w:r>
    </w:p>
    <w:p>
      <w:pPr>
        <w:keepNext/>
        <w:pageBreakBefore w:val="0"/>
        <w:spacing w:before="280" w:beforeAutospacing="1" w:after="100" w:afterAutospacing="1" w:line="240" w:lineRule="auto"/>
        <w:ind w:left="0" w:firstLine="0"/>
        <w:outlineLvl w:val="1"/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</w:pPr>
      <w:r>
        <w:rPr>
          <w:rFonts w:ascii="Arial" w:hAnsi="Arial"/>
          <w:b/>
          <w:color w:val="000000"/>
          <w:sz w:val="32"/>
        </w:rPr>
        <w:t>7. Implantação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A apresentação utiliza https://finstart-publicacao.vercel.app. Basta internet e navegador; não é necessário instalar Node.js, MySQL ou abrir terminal no computador do professor. O frontend está na Vercel, a API em https://finstart-api-l60v.onrender.com e o banco persistente na Aiven. GET /api/saude pelo domínio do site confirmou banco conectado em 29/10/2026.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A Vercel publica somente os arquivos selecionados por scripts/build-static.js. vercel.json define o proxy /api para o Render e cabeçalhos de segurança. O Render executa pnpm install --frozen-lockfile e node server/index.js. server/index.js usa PORT e HOST=0.0.0.0 em produção; PUBLIC_ORIGIN limita a origem aceita. A conexão TLS está em server/mysql.js e o esquema em database/schema.mysql.sql.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No Render, NODE_ENV=production, DB_DRIVER=mysql e DB_SSL=true identificam a configuração. DB_HOST, DB_PORT, DB_NAME, DB_USER, DB_PASSWORD, DB_SSL_CA e JWT_SECRET ficam nas variáveis privadas. Nenhuma senha deve ser mostrada na apresentação ou incluída no ZIP. O Workbench é opcional para inspeção autorizada do banco; abrir um arquivo SQL sozinho apenas mostra o código.</w:t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Backup e compartilhamento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GitHub e ZIP preservam código e documentos; não guardam os dados online. O painel Aiven confirmou Running no plano Free e mostrou um backup completo do provedor. Um dump externo com TLS VERIFY_IDENTITY foi restaurado em MySQL 8.0.45 local isolado; as dez tabelas coincidiram por contagem e hash. A instância temporária foi encerrada. Não houve restauração sobre a produção nem em outra Aiven 8.4. O dump privado fica separado do pacote público. Frequência, retenção externa e responsável pelos próximos backups estão documentados como manutenção.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A pedido de Yuri, foi criada https://github.com/yurikikuchi2006/finstart, preservando o histórico da origem enzocayresferreira7-pixel/finstart. O projeto existente da Vercel foi conectado à cópia; novos commits dispararam deploys Ready no mesmo endereço público. O build seleciona 25 arquivos públicos para dist. O serviço Render existente também usa a cópia de Yuri, mantendo Node nativo, variáveis privadas e banco. Pela conexão de repositório público utilizada, seus próximos deploys são manuais; não se declara automação da API comprovada. O frontend mantém espera de 90 segundos, sem repetição de gravações.</w:t>
      </w:r>
    </w:p>
    <w:p>
      <w:pPr>
        <w:keepNext/>
        <w:pageBreakBefore w:val="0"/>
        <w:spacing w:before="280" w:beforeAutospacing="1" w:after="100" w:afterAutospacing="1" w:line="240" w:lineRule="auto"/>
        <w:ind w:left="0" w:firstLine="0"/>
        <w:outlineLvl w:val="1"/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</w:pPr>
      <w:r>
        <w:rPr>
          <w:rFonts w:ascii="Arial" w:hAnsi="Arial"/>
          <w:b/>
          <w:color w:val="000000"/>
          <w:sz w:val="32"/>
        </w:rPr>
        <w:t>8. Manutenção / Evoluções Futuras</w:t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Evolução em relação à segunda entrega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O protótipo anterior concentrava formulário inicial, página institucional e orçamento. A versão atual acrescenta fluxos completos de cadastro/login, biblioteca, juros, comparação, metas, progresso e gráficos. A API, autenticação e persistência passaram de planejamento para implementação integrada, mantendo a arquitetura Node.js/Express/MySQL definida na segunda entrega.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05"/>
        <w:gridCol w:w="5669"/>
      </w:tblGrid>
      <w:tr>
        <w:trPr>
          <w:cantSplit/>
          <w:tblHeader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Problema observado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Correção aplicada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Telas do MVP incompletas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Oito páginas e fluxos de leitura, simulação e acompanhamento.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Banco/API/JWT apenas planejados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Controllers, consultas reais, JWT verificado e MySQL operacional.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HTML local sem executar módulos/API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Inicializador HTTP e bloqueio orientado de file://.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Senha aparecendo na URL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Formulários POST explícitos e proteção antes dos módulos.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Saldo sem histórico e prazo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Registro transacional, prazo e cálculo mensal necessário.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Conteúdo apenas introdutório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Biblioteca com três níveis e fontes oficiais.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Kanban sem trabalho em andamento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Quadro atual datado, com critérios de conclusão e pendências reais.</w:t>
            </w:r>
          </w:p>
        </w:tc>
      </w:tr>
    </w:tbl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6"/>
        </w:rPr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Próximos passos: integrar o provedor Git ao Render para atualização automática; estabelecer retenção e rotina protegida de backups, repetindo a restauração em ambiente isolado; recuperação de senha e verificação de e-mail; testes com usuários e acessibilidade assistiva; monitoramento e revisão das fontes. Foram corrigidos os retornos de caminhos inexistentes por rotas 404 explícitas e o identificador de conteúdo da página Sobre, que causava erro JavaScript e prejudicava o link de salto. Os cenários financeiros continuam hipotéticos.</w:t>
      </w:r>
    </w:p>
    <w:p>
      <w:pPr>
        <w:keepNext/>
        <w:pageBreakBefore w:val="0"/>
        <w:spacing w:before="280" w:beforeAutospacing="1" w:after="100" w:afterAutospacing="1" w:line="240" w:lineRule="auto"/>
        <w:ind w:left="0" w:firstLine="0"/>
        <w:outlineLvl w:val="1"/>
        <w:rPr>
          <w:rFonts w:eastAsia="Times New Roman"/>
          <w:b/>
          <w:bCs/>
          <w:color w:val="auto"/>
          <w:kern w:val="0"/>
          <w:sz w:val="32"/>
          <w:szCs w:val="32"/>
          <w14:ligatures w14:val="none"/>
        </w:rPr>
      </w:pPr>
      <w:r>
        <w:rPr>
          <w:rFonts w:ascii="Arial" w:hAnsi="Arial"/>
          <w:b/>
          <w:color w:val="000000"/>
          <w:sz w:val="32"/>
        </w:rPr>
        <w:t>9. Considerações Finais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A FinStart mantém a proposta educativa original e apresenta integração entre interface, API e banco relacional. A consolidação está demonstrada pelos fluxos implementados, scripts SQL, modelo atualizado e verificações registradas. O grupo deve revisar o pacote e conseguir explicar os cálculos, as relações entre tabelas e os limites da versão durante a apresentação.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252"/>
        <w:gridCol w:w="4422"/>
      </w:tblGrid>
      <w:tr>
        <w:trPr>
          <w:cantSplit/>
          <w:tblHeader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Tópico exigido na 3ª entrega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DEDED"/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20"/>
              </w:rPr>
              <w:t>Localização neste documento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1 Front-end implementado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Seções 2, 4 e 5; capturas das telas.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2 Back-end funcionando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Seções 5 e 6; rotas, controllers e testes.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3 Banco consolidado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Seção 5; DER, tabelas, FKs, SQL e conexão.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4 Integração real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Seções 5 e 6; fluxos completos e persistência.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5 Evolução desde a 2ª entrega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Seção 8; alterações, desafios e próximos passos.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6 Clareza e organização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Modelo oficial, estrutura cumulativa e evidências identificadas.</w:t>
            </w:r>
          </w:p>
        </w:tc>
      </w:tr>
    </w:tbl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6"/>
        </w:rPr>
      </w:r>
    </w:p>
    <w:p>
      <w:pPr>
        <w:keepNext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/>
          <w:color w:val="000000"/>
          <w:sz w:val="24"/>
        </w:rPr>
        <w:t>Referências documentais e técnicas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Documentos do grupo: primeira entrega original e corrigida; 2a-Entrega-FinStart; Relatorio_Parcial_1_FinStart. Materiais da disciplina: aulas 01 a 15; comentários de Fernando Luiz de Almeida Silveira; enunciado da terceira entrega; documento padrão oficial fornecido pelo professor.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Documentação técnica: Node.js (https://nodejs.org/docs/latest-v24.x/api/), Express (https://expressjs.com/), MySQL (https://dev.mysql.com/doc/refman/8.0/en/) e SQLite (https://www.sqlite.org/).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Fontes educativas: Banco Central, CVM/Portal do Investidor, IBGE e Tesouro Direto. Os endereços específicos, títulos e data de consulta estão em cada conteúdo da biblioteca e no catálogo versionado server/conteudos.js. Consulta dos conteúdos: 28/10/2026.</w:t>
      </w:r>
    </w:p>
    <w:p>
      <w:pPr>
        <w:keepNext w:val="0"/>
        <w:keepLines w:val="0"/>
        <w:widowControl/>
        <w:spacing w:before="100" w:beforeAutospacing="1" w:after="100" w:afterAutospacing="1" w:line="240" w:lineRule="auto"/>
        <w:ind w:left="0" w:firstLine="0"/>
        <w:rPr>
          <w:rFonts w:eastAsia="Times New Roman"/>
          <w:color w:val="auto"/>
          <w:kern w:val="0"/>
          <w14:ligatures w14:val="none"/>
        </w:rPr>
      </w:pPr>
      <w:r>
        <w:rPr>
          <w:rFonts w:ascii="Arial" w:hAnsi="Arial"/>
          <w:b w:val="0"/>
          <w:color w:val="000000"/>
          <w:sz w:val="24"/>
        </w:rPr>
        <w:t>Pendências acadêmicas: revisão do grupo, upload no Canvas e apresentação oral. Código e aplicação estão publicados. As verificações desta rodada estão em docs/VALIDACAO-FINAL.md, com evidências separadas dos dados privados. Permanecem a automação do Render e as melhorias descritas na seção 8. Testes finitos não garantem ausência de falhas, disponibilidade futura dos provedores ou substituição da avaliação do professor.</w:t>
      </w:r>
    </w:p>
    <w:sectPr w:rsidR="00317127" w:rsidRPr="00317127" w:rsidSect="00A21D2D">
      <w:headerReference w:type="default" r:id="rId8"/>
      <w:pgSz w:w="11906" w:h="16838" w:code="9"/>
      <w:pgMar w:top="1418" w:right="1418" w:bottom="1418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F723B" w14:textId="77777777" w:rsidR="00584204" w:rsidRDefault="00584204" w:rsidP="00A21D2D">
      <w:pPr>
        <w:spacing w:line="240" w:lineRule="auto"/>
      </w:pPr>
      <w:r>
        <w:separator/>
      </w:r>
    </w:p>
  </w:endnote>
  <w:endnote w:type="continuationSeparator" w:id="0">
    <w:p w14:paraId="5A531E0B" w14:textId="77777777" w:rsidR="00584204" w:rsidRDefault="00584204" w:rsidP="00A21D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86E32" w14:textId="77777777" w:rsidR="00584204" w:rsidRDefault="00584204" w:rsidP="00A21D2D">
      <w:pPr>
        <w:spacing w:line="240" w:lineRule="auto"/>
      </w:pPr>
      <w:r>
        <w:separator/>
      </w:r>
    </w:p>
  </w:footnote>
  <w:footnote w:type="continuationSeparator" w:id="0">
    <w:p w14:paraId="124D7586" w14:textId="77777777" w:rsidR="00584204" w:rsidRDefault="00584204" w:rsidP="00A21D2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7C159" w14:textId="7CF8F859" w:rsidR="00A21D2D" w:rsidRDefault="00A21D2D" w:rsidP="00A21D2D">
    <w:pPr>
      <w:pStyle w:val="Cabealho"/>
      <w:jc w:val="right"/>
    </w:pPr>
    <w:r>
      <w:rPr>
        <w:noProof/>
      </w:rPr>
      <w:drawing>
        <wp:inline distT="0" distB="0" distL="0" distR="0" wp14:anchorId="765C7653" wp14:editId="54344211">
          <wp:extent cx="899160" cy="561975"/>
          <wp:effectExtent l="0" t="0" r="0" b="0"/>
          <wp:docPr id="1132746087" name="Picture 12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" name="Picture 12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9160" cy="561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0BD9"/>
    <w:multiLevelType w:val="hybridMultilevel"/>
    <w:tmpl w:val="50D2EBDE"/>
    <w:lvl w:ilvl="0" w:tplc="2E4C5FA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3A9F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3079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F482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364B5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C408B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EC5D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AA10B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70F8C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E6566C"/>
    <w:multiLevelType w:val="multilevel"/>
    <w:tmpl w:val="8A46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B2AAD"/>
    <w:multiLevelType w:val="multilevel"/>
    <w:tmpl w:val="DF6C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F4D43"/>
    <w:multiLevelType w:val="hybridMultilevel"/>
    <w:tmpl w:val="7C82059A"/>
    <w:lvl w:ilvl="0" w:tplc="617C490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FA0A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32BF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60AF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128A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B84E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1683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3A77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7434D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71C4F92"/>
    <w:multiLevelType w:val="multilevel"/>
    <w:tmpl w:val="A93AC6D0"/>
    <w:lvl w:ilvl="0">
      <w:start w:val="1"/>
      <w:numFmt w:val="decimal"/>
      <w:pStyle w:val="Ttulo1"/>
      <w:lvlText w:val="%1."/>
      <w:lvlJc w:val="left"/>
      <w:pPr>
        <w:ind w:left="411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."/>
      <w:lvlJc w:val="left"/>
      <w:pPr>
        <w:ind w:left="411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519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591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663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735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807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879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951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9CC6A51"/>
    <w:multiLevelType w:val="multilevel"/>
    <w:tmpl w:val="FB66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756DB"/>
    <w:multiLevelType w:val="multilevel"/>
    <w:tmpl w:val="968A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61882"/>
    <w:multiLevelType w:val="hybridMultilevel"/>
    <w:tmpl w:val="B8E48B40"/>
    <w:lvl w:ilvl="0" w:tplc="BBA8B59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0EB8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1AAF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2232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62E5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3418D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B460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4C953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986C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CC6B36"/>
    <w:multiLevelType w:val="hybridMultilevel"/>
    <w:tmpl w:val="8CD40BB6"/>
    <w:lvl w:ilvl="0" w:tplc="A694FD9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66AA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5A97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94F8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E4B8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8C4EA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8A780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24A78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D87A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B022479"/>
    <w:multiLevelType w:val="multilevel"/>
    <w:tmpl w:val="FFD8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0B7"/>
    <w:multiLevelType w:val="hybridMultilevel"/>
    <w:tmpl w:val="91FE30CC"/>
    <w:lvl w:ilvl="0" w:tplc="8ED62BA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3296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6E32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5684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A6BA5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D6C2E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6AED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CEC3A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5CCA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06375FE"/>
    <w:multiLevelType w:val="multilevel"/>
    <w:tmpl w:val="CE82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07AF6"/>
    <w:multiLevelType w:val="multilevel"/>
    <w:tmpl w:val="F35C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A5FF4"/>
    <w:multiLevelType w:val="multilevel"/>
    <w:tmpl w:val="A698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63D90"/>
    <w:multiLevelType w:val="multilevel"/>
    <w:tmpl w:val="1892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137749"/>
    <w:multiLevelType w:val="multilevel"/>
    <w:tmpl w:val="0D78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782BFD"/>
    <w:multiLevelType w:val="multilevel"/>
    <w:tmpl w:val="7742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B105AC"/>
    <w:multiLevelType w:val="multilevel"/>
    <w:tmpl w:val="9090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BA17FC"/>
    <w:multiLevelType w:val="multilevel"/>
    <w:tmpl w:val="9398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250176"/>
    <w:multiLevelType w:val="multilevel"/>
    <w:tmpl w:val="98BE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95150F"/>
    <w:multiLevelType w:val="multilevel"/>
    <w:tmpl w:val="37E4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245A82"/>
    <w:multiLevelType w:val="multilevel"/>
    <w:tmpl w:val="0A8C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6A6493"/>
    <w:multiLevelType w:val="multilevel"/>
    <w:tmpl w:val="6F5A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1C69C8"/>
    <w:multiLevelType w:val="multilevel"/>
    <w:tmpl w:val="CD12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433FEB"/>
    <w:multiLevelType w:val="multilevel"/>
    <w:tmpl w:val="CCDC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999518">
    <w:abstractNumId w:val="3"/>
  </w:num>
  <w:num w:numId="2" w16cid:durableId="1494103056">
    <w:abstractNumId w:val="8"/>
  </w:num>
  <w:num w:numId="3" w16cid:durableId="101461532">
    <w:abstractNumId w:val="0"/>
  </w:num>
  <w:num w:numId="4" w16cid:durableId="229924917">
    <w:abstractNumId w:val="10"/>
  </w:num>
  <w:num w:numId="5" w16cid:durableId="1845590725">
    <w:abstractNumId w:val="7"/>
  </w:num>
  <w:num w:numId="6" w16cid:durableId="810900338">
    <w:abstractNumId w:val="4"/>
  </w:num>
  <w:num w:numId="7" w16cid:durableId="1998605667">
    <w:abstractNumId w:val="12"/>
  </w:num>
  <w:num w:numId="8" w16cid:durableId="778338061">
    <w:abstractNumId w:val="14"/>
  </w:num>
  <w:num w:numId="9" w16cid:durableId="129515007">
    <w:abstractNumId w:val="6"/>
  </w:num>
  <w:num w:numId="10" w16cid:durableId="1906724821">
    <w:abstractNumId w:val="11"/>
  </w:num>
  <w:num w:numId="11" w16cid:durableId="255136477">
    <w:abstractNumId w:val="22"/>
  </w:num>
  <w:num w:numId="12" w16cid:durableId="1152986096">
    <w:abstractNumId w:val="18"/>
  </w:num>
  <w:num w:numId="13" w16cid:durableId="296299815">
    <w:abstractNumId w:val="21"/>
  </w:num>
  <w:num w:numId="14" w16cid:durableId="905071993">
    <w:abstractNumId w:val="23"/>
  </w:num>
  <w:num w:numId="15" w16cid:durableId="1785226214">
    <w:abstractNumId w:val="24"/>
  </w:num>
  <w:num w:numId="16" w16cid:durableId="449740515">
    <w:abstractNumId w:val="9"/>
  </w:num>
  <w:num w:numId="17" w16cid:durableId="1770155231">
    <w:abstractNumId w:val="15"/>
  </w:num>
  <w:num w:numId="18" w16cid:durableId="2024940579">
    <w:abstractNumId w:val="20"/>
  </w:num>
  <w:num w:numId="19" w16cid:durableId="116459111">
    <w:abstractNumId w:val="13"/>
  </w:num>
  <w:num w:numId="20" w16cid:durableId="317878162">
    <w:abstractNumId w:val="5"/>
  </w:num>
  <w:num w:numId="21" w16cid:durableId="347491882">
    <w:abstractNumId w:val="1"/>
  </w:num>
  <w:num w:numId="22" w16cid:durableId="874854703">
    <w:abstractNumId w:val="2"/>
  </w:num>
  <w:num w:numId="23" w16cid:durableId="838619533">
    <w:abstractNumId w:val="19"/>
  </w:num>
  <w:num w:numId="24" w16cid:durableId="2114324884">
    <w:abstractNumId w:val="17"/>
  </w:num>
  <w:num w:numId="25" w16cid:durableId="20678766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B37"/>
    <w:rsid w:val="00023F66"/>
    <w:rsid w:val="00037A4F"/>
    <w:rsid w:val="00076B37"/>
    <w:rsid w:val="000D1C31"/>
    <w:rsid w:val="000D2B41"/>
    <w:rsid w:val="00113E6A"/>
    <w:rsid w:val="00166D86"/>
    <w:rsid w:val="002040F2"/>
    <w:rsid w:val="00242711"/>
    <w:rsid w:val="00246560"/>
    <w:rsid w:val="00295357"/>
    <w:rsid w:val="002C4FCA"/>
    <w:rsid w:val="002D7049"/>
    <w:rsid w:val="00317127"/>
    <w:rsid w:val="00382010"/>
    <w:rsid w:val="003A1F9D"/>
    <w:rsid w:val="003D044C"/>
    <w:rsid w:val="003D6F4A"/>
    <w:rsid w:val="00442295"/>
    <w:rsid w:val="00473BA2"/>
    <w:rsid w:val="00476509"/>
    <w:rsid w:val="004D62B5"/>
    <w:rsid w:val="005432A3"/>
    <w:rsid w:val="005465C1"/>
    <w:rsid w:val="00572BCE"/>
    <w:rsid w:val="00584204"/>
    <w:rsid w:val="00592CF8"/>
    <w:rsid w:val="005E52D5"/>
    <w:rsid w:val="006340A6"/>
    <w:rsid w:val="00640624"/>
    <w:rsid w:val="00662ED2"/>
    <w:rsid w:val="006C01E8"/>
    <w:rsid w:val="006F3908"/>
    <w:rsid w:val="00792F11"/>
    <w:rsid w:val="00792F75"/>
    <w:rsid w:val="00794A01"/>
    <w:rsid w:val="008332E6"/>
    <w:rsid w:val="00854803"/>
    <w:rsid w:val="008A4439"/>
    <w:rsid w:val="008B5206"/>
    <w:rsid w:val="009E3772"/>
    <w:rsid w:val="00A21D2D"/>
    <w:rsid w:val="00A41D80"/>
    <w:rsid w:val="00A5739F"/>
    <w:rsid w:val="00AD4F47"/>
    <w:rsid w:val="00AF3F54"/>
    <w:rsid w:val="00DA1614"/>
    <w:rsid w:val="00EF1102"/>
    <w:rsid w:val="00F141AF"/>
    <w:rsid w:val="00FB0472"/>
    <w:rsid w:val="00FE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B8F68"/>
  <w15:docId w15:val="{8B0B6C46-43F4-4E03-A6CB-35FDA8822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hanging="10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6"/>
      </w:numPr>
      <w:spacing w:after="159" w:line="259" w:lineRule="auto"/>
      <w:ind w:left="140" w:hanging="10"/>
      <w:outlineLvl w:val="0"/>
    </w:pPr>
    <w:rPr>
      <w:rFonts w:ascii="Arial" w:eastAsia="Arial" w:hAnsi="Arial" w:cs="Arial"/>
      <w:b/>
      <w:color w:val="00000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numPr>
        <w:ilvl w:val="1"/>
        <w:numId w:val="6"/>
      </w:numPr>
      <w:spacing w:after="159" w:line="259" w:lineRule="auto"/>
      <w:ind w:left="140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4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4"/>
    </w:rPr>
  </w:style>
  <w:style w:type="paragraph" w:styleId="Cabealho">
    <w:name w:val="header"/>
    <w:basedOn w:val="Normal"/>
    <w:link w:val="CabealhoChar"/>
    <w:uiPriority w:val="99"/>
    <w:unhideWhenUsed/>
    <w:rsid w:val="00A21D2D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21D2D"/>
    <w:rPr>
      <w:rFonts w:ascii="Arial" w:eastAsia="Arial" w:hAnsi="Arial" w:cs="Arial"/>
      <w:color w:val="000000"/>
    </w:rPr>
  </w:style>
  <w:style w:type="paragraph" w:styleId="Rodap">
    <w:name w:val="footer"/>
    <w:basedOn w:val="Normal"/>
    <w:link w:val="RodapChar"/>
    <w:uiPriority w:val="99"/>
    <w:unhideWhenUsed/>
    <w:rsid w:val="00A21D2D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21D2D"/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7</Pages>
  <Words>1587</Words>
  <Characters>8574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LUIZ DE ALMEIDA SILVEIRA</dc:creator>
  <cp:keywords/>
  <cp:lastModifiedBy>FERNANDO LUIZ DE ALMEIDA SILVEIRA</cp:lastModifiedBy>
  <cp:revision>33</cp:revision>
  <cp:lastPrinted>2025-03-20T19:06:00Z</cp:lastPrinted>
  <dcterms:created xsi:type="dcterms:W3CDTF">2025-03-20T19:06:00Z</dcterms:created>
  <dcterms:modified xsi:type="dcterms:W3CDTF">2026-09-07T20:42:00Z</dcterms:modified>
</cp:coreProperties>
</file>