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BC" w:rsidRDefault="00FE783B" w:rsidP="00FE783B">
      <w:pPr>
        <w:jc w:val="center"/>
        <w:rPr>
          <w:b/>
          <w:sz w:val="36"/>
        </w:rPr>
      </w:pPr>
      <w:r w:rsidRPr="00FE783B">
        <w:rPr>
          <w:b/>
          <w:sz w:val="36"/>
        </w:rPr>
        <w:t>Modelo Preditivo do IDSUS 2010 a partir dos Indicadores S</w:t>
      </w:r>
      <w:r>
        <w:rPr>
          <w:b/>
          <w:sz w:val="36"/>
        </w:rPr>
        <w:t>ociais Municipais do Censo 2010</w:t>
      </w:r>
    </w:p>
    <w:p w:rsidR="00FE783B" w:rsidRPr="00FE783B" w:rsidRDefault="00FE783B" w:rsidP="00FE783B">
      <w:pPr>
        <w:rPr>
          <w:b/>
        </w:rPr>
      </w:pPr>
      <w:r w:rsidRPr="00FE783B">
        <w:rPr>
          <w:b/>
        </w:rPr>
        <w:t>Autor: Yuri Piffer</w:t>
      </w:r>
    </w:p>
    <w:p w:rsidR="00FE783B" w:rsidRDefault="00FE783B" w:rsidP="00FE783B">
      <w:pPr>
        <w:pBdr>
          <w:bottom w:val="single" w:sz="6" w:space="1" w:color="auto"/>
        </w:pBdr>
        <w:rPr>
          <w:b/>
        </w:rPr>
      </w:pPr>
      <w:r w:rsidRPr="00FE783B">
        <w:rPr>
          <w:b/>
        </w:rPr>
        <w:t xml:space="preserve">Disciplina: PCI510009 – </w:t>
      </w:r>
      <w:proofErr w:type="spellStart"/>
      <w:r w:rsidRPr="00FE783B">
        <w:rPr>
          <w:b/>
        </w:rPr>
        <w:t>Machine</w:t>
      </w:r>
      <w:proofErr w:type="spellEnd"/>
      <w:r w:rsidRPr="00FE783B">
        <w:rPr>
          <w:b/>
        </w:rPr>
        <w:t xml:space="preserve"> Learning e </w:t>
      </w:r>
      <w:proofErr w:type="spellStart"/>
      <w:r w:rsidRPr="00FE783B">
        <w:rPr>
          <w:b/>
        </w:rPr>
        <w:t>Deep</w:t>
      </w:r>
      <w:proofErr w:type="spellEnd"/>
      <w:r w:rsidRPr="00FE783B">
        <w:rPr>
          <w:b/>
        </w:rPr>
        <w:t xml:space="preserve"> Learning</w:t>
      </w:r>
    </w:p>
    <w:p w:rsidR="00FE783B" w:rsidRDefault="00FE783B" w:rsidP="00FE783B">
      <w:pPr>
        <w:pBdr>
          <w:bottom w:val="single" w:sz="6" w:space="1" w:color="auto"/>
        </w:pBdr>
        <w:rPr>
          <w:b/>
        </w:rPr>
      </w:pPr>
      <w:r>
        <w:rPr>
          <w:b/>
        </w:rPr>
        <w:t>Pós-Graduação Universidade Federal de Santa Catarina</w:t>
      </w:r>
    </w:p>
    <w:p w:rsidR="00FE783B" w:rsidRPr="00FE783B" w:rsidRDefault="00FE783B" w:rsidP="00FE783B">
      <w:pPr>
        <w:pBdr>
          <w:bottom w:val="single" w:sz="6" w:space="1" w:color="auto"/>
        </w:pBdr>
        <w:rPr>
          <w:b/>
        </w:rPr>
      </w:pPr>
      <w:r>
        <w:rPr>
          <w:b/>
        </w:rPr>
        <w:t>Link para o repositório: xxxxxxxxxxxxxxxxxxxxxxxxxxxxxxxxxxxxxxxxxxxxxxxxxxx</w:t>
      </w:r>
      <w:bookmarkStart w:id="0" w:name="_GoBack"/>
      <w:bookmarkEnd w:id="0"/>
    </w:p>
    <w:p w:rsidR="00B94477" w:rsidRPr="001334BC" w:rsidRDefault="00B94477" w:rsidP="00B94477">
      <w:pPr>
        <w:pStyle w:val="ABNTtexto"/>
        <w:numPr>
          <w:ilvl w:val="0"/>
          <w:numId w:val="3"/>
        </w:numPr>
        <w:rPr>
          <w:b/>
        </w:rPr>
      </w:pPr>
      <w:r w:rsidRPr="001334BC">
        <w:rPr>
          <w:b/>
        </w:rPr>
        <w:t>INTRODUÇÃO</w:t>
      </w:r>
    </w:p>
    <w:p w:rsidR="00B94477" w:rsidRDefault="00B94477" w:rsidP="00F55AA9">
      <w:pPr>
        <w:pStyle w:val="ABNTtexto"/>
      </w:pPr>
    </w:p>
    <w:p w:rsidR="00B94477" w:rsidRDefault="00B94477" w:rsidP="00F55AA9">
      <w:pPr>
        <w:pStyle w:val="ABNTtexto"/>
      </w:pPr>
    </w:p>
    <w:p w:rsidR="00B94477" w:rsidRDefault="00B94477" w:rsidP="00F55AA9">
      <w:pPr>
        <w:pStyle w:val="ABNTtexto"/>
      </w:pPr>
    </w:p>
    <w:p w:rsidR="00B94477" w:rsidRDefault="00B94477" w:rsidP="00F55AA9">
      <w:pPr>
        <w:pStyle w:val="ABNTtexto"/>
      </w:pPr>
    </w:p>
    <w:p w:rsidR="002D604F" w:rsidRPr="001334BC" w:rsidRDefault="002D604F" w:rsidP="00B94477">
      <w:pPr>
        <w:pStyle w:val="ABNTtexto"/>
        <w:numPr>
          <w:ilvl w:val="1"/>
          <w:numId w:val="3"/>
        </w:numPr>
        <w:rPr>
          <w:b/>
        </w:rPr>
      </w:pPr>
      <w:r w:rsidRPr="001334BC">
        <w:rPr>
          <w:b/>
        </w:rPr>
        <w:t>IDSUS 2010</w:t>
      </w:r>
    </w:p>
    <w:p w:rsidR="00262A1B" w:rsidRPr="00603AA2" w:rsidRDefault="00F55AA9" w:rsidP="00F55AA9">
      <w:pPr>
        <w:pStyle w:val="ABNTtexto"/>
      </w:pPr>
      <w:r>
        <w:tab/>
      </w:r>
      <w:r w:rsidR="00603AA2">
        <w:t xml:space="preserve">O Sistema Único de Saúde (SUS) do Brasil é um sistema de saúde pública universal e gratuita instaurado pela constituição de 1988. Sua atuação se dá desde atendimentos primários até procedimentos complexos, distribuição de vacinas e medicamentos e financiamento de pesquisas. Entre algumas ferramentas de avaliação do SUS, tem-se o </w:t>
      </w:r>
      <w:r w:rsidR="00262A1B">
        <w:t>Índice de desempen</w:t>
      </w:r>
      <w:r w:rsidR="005C2B3B">
        <w:t>ho do Sistema Único de Saúde (ID</w:t>
      </w:r>
      <w:r w:rsidR="00262A1B">
        <w:t>SUS)</w:t>
      </w:r>
      <w:r w:rsidR="005C2B3B">
        <w:t>. O objetivo do ID</w:t>
      </w:r>
      <w:r w:rsidR="00603AA2">
        <w:t xml:space="preserve">SUS é: </w:t>
      </w:r>
    </w:p>
    <w:p w:rsidR="00603AA2" w:rsidRPr="00F55AA9" w:rsidRDefault="00262A1B" w:rsidP="00F55AA9">
      <w:pPr>
        <w:pStyle w:val="ABNTcitaolonga"/>
      </w:pPr>
      <w:r w:rsidRPr="00603AA2">
        <w:t>Avaliar o desempenho do SUS quanto à: universalidade do acesso, integralidade, igualdade, resolubilidade e equidade da atenção, descentralização com comando único por esfera de gestão, responsabilidade tripartite, regionalização e hierarquização da rede de serviços de saúde</w:t>
      </w:r>
      <w:r w:rsidR="005C2B3B">
        <w:t xml:space="preserve"> </w:t>
      </w:r>
      <w:r w:rsidR="005C2B3B" w:rsidRPr="005C2B3B">
        <w:rPr>
          <w:highlight w:val="yellow"/>
        </w:rPr>
        <w:t>[REF]</w:t>
      </w:r>
      <w:r w:rsidRPr="005C2B3B">
        <w:rPr>
          <w:highlight w:val="yellow"/>
        </w:rPr>
        <w:t>.</w:t>
      </w:r>
    </w:p>
    <w:p w:rsidR="00603AA2" w:rsidRPr="00603AA2" w:rsidRDefault="00F55AA9" w:rsidP="00F55AA9">
      <w:pPr>
        <w:pStyle w:val="ABNTtexto"/>
      </w:pPr>
      <w:r>
        <w:rPr>
          <w:rStyle w:val="ABNTtextoChar"/>
        </w:rPr>
        <w:tab/>
      </w:r>
      <w:r w:rsidR="00603AA2" w:rsidRPr="00F55AA9">
        <w:rPr>
          <w:rStyle w:val="ABNTtextoChar"/>
        </w:rPr>
        <w:t xml:space="preserve">Há diversos desafios que permeiam uma avaliação coerente do desempenho do Sistema Único de Saúde em toda a extensão territorial do </w:t>
      </w:r>
      <w:r w:rsidR="00592D2A" w:rsidRPr="00F55AA9">
        <w:rPr>
          <w:rStyle w:val="ABNTtextoChar"/>
        </w:rPr>
        <w:t>Brasil devido à complexidade do processo demográfico, social e sanitário do país</w:t>
      </w:r>
      <w:r w:rsidR="00603AA2" w:rsidRPr="00603AA2">
        <w:t xml:space="preserve">. </w:t>
      </w:r>
    </w:p>
    <w:p w:rsidR="00603AA2" w:rsidRPr="000C328F" w:rsidRDefault="00603AA2" w:rsidP="000C328F">
      <w:pPr>
        <w:pStyle w:val="ABNTcitaolonga"/>
      </w:pPr>
      <w:r w:rsidRPr="00603AA2">
        <w:t>É importante destacar que, em função da grande diversidade (demográfica, cultural, socioeconômica, geográfica, etc.) dos territórios do nosso país, não seria adequado realizar uma classificação (</w:t>
      </w:r>
      <w:proofErr w:type="spellStart"/>
      <w:r w:rsidRPr="00603AA2">
        <w:t>ranqueamento</w:t>
      </w:r>
      <w:proofErr w:type="spellEnd"/>
      <w:r w:rsidRPr="00603AA2">
        <w:t>) que apenas posicionasse, em ordem crescente ou decrescente, os municípios brasileiros. Assim, para realizar uma avaliação mais justa, a análise comparativa dos resultados do IDSUS deve levar em consideração a existência de Grupos Homogêneos</w:t>
      </w:r>
      <w:r w:rsidR="005C2B3B">
        <w:t xml:space="preserve"> </w:t>
      </w:r>
      <w:r w:rsidR="005C2B3B" w:rsidRPr="005C2B3B">
        <w:rPr>
          <w:highlight w:val="yellow"/>
        </w:rPr>
        <w:t>[REF]</w:t>
      </w:r>
      <w:r w:rsidRPr="00603AA2">
        <w:t>.</w:t>
      </w:r>
    </w:p>
    <w:p w:rsidR="00262A1B" w:rsidRDefault="00F55AA9" w:rsidP="00F55AA9">
      <w:pPr>
        <w:pStyle w:val="ABNTtexto"/>
      </w:pPr>
      <w:r>
        <w:lastRenderedPageBreak/>
        <w:tab/>
      </w:r>
      <w:r w:rsidR="00592D2A" w:rsidRPr="00592D2A">
        <w:t xml:space="preserve">A formação dos </w:t>
      </w:r>
      <w:r w:rsidR="00262A1B" w:rsidRPr="00592D2A">
        <w:t>Grupos Homogêneos</w:t>
      </w:r>
      <w:r w:rsidR="0031751F">
        <w:t xml:space="preserve"> (clusterização)</w:t>
      </w:r>
      <w:r w:rsidR="00AB15B7">
        <w:t xml:space="preserve"> utilizam</w:t>
      </w:r>
      <w:r w:rsidR="00592D2A" w:rsidRPr="00592D2A">
        <w:t xml:space="preserve"> três índices que possibilitam a análise do desempenho do SUS dos municípios brasileiros </w:t>
      </w:r>
      <w:r w:rsidR="00AB15B7">
        <w:t xml:space="preserve">em seis grupos homogêneos, sendo </w:t>
      </w:r>
      <w:r w:rsidR="000C328F">
        <w:t>esses índices</w:t>
      </w:r>
      <w:r w:rsidR="00AB15B7">
        <w:t xml:space="preserve"> o:</w:t>
      </w:r>
    </w:p>
    <w:p w:rsidR="00AB15B7" w:rsidRDefault="00AB15B7" w:rsidP="00230254">
      <w:pPr>
        <w:pStyle w:val="ABNTtexto"/>
        <w:numPr>
          <w:ilvl w:val="0"/>
          <w:numId w:val="2"/>
        </w:numPr>
        <w:spacing w:line="240" w:lineRule="auto"/>
      </w:pPr>
      <w:r w:rsidRPr="00592D2A">
        <w:t>Índice de Desenv</w:t>
      </w:r>
      <w:r>
        <w:t>olvimento Socioeconômico (IDSE),</w:t>
      </w:r>
    </w:p>
    <w:p w:rsidR="00AB15B7" w:rsidRDefault="00AB15B7" w:rsidP="00230254">
      <w:pPr>
        <w:pStyle w:val="ABNTtexto"/>
        <w:numPr>
          <w:ilvl w:val="0"/>
          <w:numId w:val="2"/>
        </w:numPr>
        <w:spacing w:line="240" w:lineRule="auto"/>
      </w:pPr>
      <w:r w:rsidRPr="00592D2A">
        <w:t>Índi</w:t>
      </w:r>
      <w:r>
        <w:t>ce de Condições de Saúde (ICS),</w:t>
      </w:r>
    </w:p>
    <w:p w:rsidR="00AB15B7" w:rsidRDefault="00AB15B7" w:rsidP="00230254">
      <w:pPr>
        <w:pStyle w:val="ABNTtexto"/>
        <w:numPr>
          <w:ilvl w:val="0"/>
          <w:numId w:val="2"/>
        </w:numPr>
        <w:spacing w:line="240" w:lineRule="auto"/>
      </w:pPr>
      <w:r w:rsidRPr="00592D2A">
        <w:t>Índice de Estrutura do Sistema de Saúde do Município (IESSM).</w:t>
      </w:r>
    </w:p>
    <w:p w:rsidR="000C328F" w:rsidRPr="000C328F" w:rsidRDefault="000C328F" w:rsidP="000C328F">
      <w:pPr>
        <w:pStyle w:val="ABNTtexto"/>
      </w:pPr>
      <w:r>
        <w:tab/>
      </w:r>
      <w:r w:rsidRPr="000C328F">
        <w:t xml:space="preserve">A partir da combinação destes três indicadores, estabelecem-se estes seis grupos, conforme a tabela </w:t>
      </w:r>
      <w:r w:rsidR="005C2B3B" w:rsidRPr="005C2B3B">
        <w:rPr>
          <w:highlight w:val="yellow"/>
        </w:rPr>
        <w:t>[REF]</w:t>
      </w:r>
      <w:r w:rsidRPr="000C328F">
        <w:t xml:space="preserve">. </w:t>
      </w:r>
      <w:r w:rsidR="005C2B3B">
        <w:t xml:space="preserve">As melhores condições são encontradas no grupo 1. Os grupos seguintes apresentam condições inferires até chegar no grupo 6. </w:t>
      </w:r>
      <w:r w:rsidRPr="000C328F">
        <w:t>Por Estrutura MAC (Média e Alta Complexidade) entende-se a estrutura de alta e média complexidade ou estrutura de atenção especializada, ambulatorial e hospitalar, urgência/emergência.</w:t>
      </w:r>
      <w:r w:rsidR="005C2B3B">
        <w:t xml:space="preserve"> </w:t>
      </w:r>
    </w:p>
    <w:tbl>
      <w:tblPr>
        <w:tblW w:w="4251" w:type="pct"/>
        <w:jc w:val="center"/>
        <w:tblCellSpacing w:w="6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520"/>
        <w:gridCol w:w="1521"/>
        <w:gridCol w:w="2662"/>
      </w:tblGrid>
      <w:tr w:rsidR="005C2B3B" w:rsidRPr="00262A1B" w:rsidTr="005C2B3B">
        <w:trPr>
          <w:trHeight w:val="449"/>
          <w:tblCellSpacing w:w="6" w:type="dxa"/>
          <w:jc w:val="center"/>
        </w:trPr>
        <w:tc>
          <w:tcPr>
            <w:tcW w:w="4983" w:type="pct"/>
            <w:gridSpan w:val="4"/>
            <w:shd w:val="clear" w:color="auto" w:fill="auto"/>
            <w:vAlign w:val="center"/>
          </w:tcPr>
          <w:p w:rsidR="005C2B3B" w:rsidRPr="000C328F" w:rsidRDefault="005C2B3B" w:rsidP="005C2B3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C2B3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t-BR"/>
              </w:rPr>
              <w:t>tABELA</w:t>
            </w:r>
            <w:proofErr w:type="spellEnd"/>
            <w:proofErr w:type="gramEnd"/>
          </w:p>
        </w:tc>
      </w:tr>
      <w:tr w:rsidR="000C328F" w:rsidRPr="00262A1B" w:rsidTr="000C328F">
        <w:trPr>
          <w:trHeight w:val="449"/>
          <w:tblCellSpacing w:w="6" w:type="dxa"/>
          <w:jc w:val="center"/>
        </w:trPr>
        <w:tc>
          <w:tcPr>
            <w:tcW w:w="1049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GRUPO</w:t>
            </w:r>
          </w:p>
        </w:tc>
        <w:tc>
          <w:tcPr>
            <w:tcW w:w="1048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IDSE</w:t>
            </w:r>
          </w:p>
        </w:tc>
        <w:tc>
          <w:tcPr>
            <w:tcW w:w="1048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ICS</w:t>
            </w:r>
          </w:p>
        </w:tc>
        <w:tc>
          <w:tcPr>
            <w:tcW w:w="1813" w:type="pct"/>
            <w:shd w:val="clear" w:color="auto" w:fill="5E82BD"/>
            <w:vAlign w:val="center"/>
            <w:hideMark/>
          </w:tcPr>
          <w:p w:rsidR="000C328F" w:rsidRPr="000C328F" w:rsidRDefault="000C328F" w:rsidP="000C328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FFFF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  <w:lang w:eastAsia="pt-BR"/>
              </w:rPr>
              <w:t>IESSM</w:t>
            </w:r>
          </w:p>
        </w:tc>
      </w:tr>
      <w:tr w:rsidR="000C328F" w:rsidRPr="00262A1B" w:rsidTr="000C328F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1813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Sem estrutura MAC (*)</w:t>
            </w:r>
          </w:p>
        </w:tc>
      </w:tr>
      <w:tr w:rsidR="000C328F" w:rsidRPr="00262A1B" w:rsidTr="000C328F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13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Sem estrutura MAC</w:t>
            </w:r>
          </w:p>
        </w:tc>
      </w:tr>
      <w:tr w:rsidR="000C328F" w:rsidRPr="00262A1B" w:rsidTr="000C328F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baixo</w:t>
            </w:r>
            <w:proofErr w:type="gramEnd"/>
          </w:p>
        </w:tc>
        <w:tc>
          <w:tcPr>
            <w:tcW w:w="1813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Pouca estrutura MAC</w:t>
            </w:r>
          </w:p>
        </w:tc>
      </w:tr>
      <w:tr w:rsidR="000C328F" w:rsidRPr="00262A1B" w:rsidTr="000C328F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13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Pouca estrutura MAC</w:t>
            </w:r>
          </w:p>
        </w:tc>
      </w:tr>
      <w:tr w:rsidR="000C328F" w:rsidRPr="00262A1B" w:rsidTr="000C328F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alto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13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Média estrutura MAC</w:t>
            </w:r>
          </w:p>
        </w:tc>
      </w:tr>
      <w:tr w:rsidR="000C328F" w:rsidRPr="00262A1B" w:rsidTr="000C328F">
        <w:trPr>
          <w:tblCellSpacing w:w="6" w:type="dxa"/>
          <w:jc w:val="center"/>
        </w:trPr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alto</w:t>
            </w:r>
            <w:proofErr w:type="gramEnd"/>
          </w:p>
        </w:tc>
        <w:tc>
          <w:tcPr>
            <w:tcW w:w="0" w:type="auto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médio</w:t>
            </w:r>
            <w:proofErr w:type="gramEnd"/>
          </w:p>
        </w:tc>
        <w:tc>
          <w:tcPr>
            <w:tcW w:w="1813" w:type="pct"/>
            <w:shd w:val="clear" w:color="auto" w:fill="DFE8F2"/>
            <w:vAlign w:val="center"/>
            <w:hideMark/>
          </w:tcPr>
          <w:p w:rsidR="000C328F" w:rsidRPr="000C328F" w:rsidRDefault="000C328F" w:rsidP="000C328F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</w:pPr>
            <w:r w:rsidRPr="000C328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pt-BR"/>
              </w:rPr>
              <w:t>Muita estrutura MAC</w:t>
            </w:r>
          </w:p>
        </w:tc>
      </w:tr>
    </w:tbl>
    <w:p w:rsidR="000C328F" w:rsidRDefault="000C328F" w:rsidP="000C328F">
      <w:pPr>
        <w:pStyle w:val="ABNTtexto"/>
      </w:pPr>
    </w:p>
    <w:p w:rsidR="0031751F" w:rsidRPr="000C328F" w:rsidRDefault="000C328F" w:rsidP="000C328F">
      <w:pPr>
        <w:pStyle w:val="ABNTtexto"/>
      </w:pPr>
      <w:r>
        <w:tab/>
      </w:r>
      <w:r w:rsidRPr="000C328F">
        <w:t>Para a clusterização d</w:t>
      </w:r>
      <w:r>
        <w:t>os</w:t>
      </w:r>
      <w:r w:rsidRPr="000C328F">
        <w:t xml:space="preserve"> municípios brasileiros nestes seis grupos homogêneos </w:t>
      </w:r>
      <w:r w:rsidR="002D604F">
        <w:t xml:space="preserve">no IDSUS de 2010 foram utilizados </w:t>
      </w:r>
      <w:r w:rsidR="0031751F" w:rsidRPr="000C328F">
        <w:t xml:space="preserve">24 indicadores </w:t>
      </w:r>
      <w:r w:rsidR="002D604F">
        <w:t>de saúde: Acesso P</w:t>
      </w:r>
      <w:r w:rsidR="0031751F" w:rsidRPr="000C328F">
        <w:t>otencial (que permite inferir a of</w:t>
      </w:r>
      <w:r w:rsidR="002D604F">
        <w:t>erta potencial de atendimentos);</w:t>
      </w:r>
      <w:r w:rsidR="0031751F" w:rsidRPr="000C328F">
        <w:t xml:space="preserve"> </w:t>
      </w:r>
      <w:r w:rsidR="002D604F">
        <w:t>Acesso O</w:t>
      </w:r>
      <w:r w:rsidR="0031751F" w:rsidRPr="000C328F">
        <w:t>btido (que pode ser medido por meio dos atendimentos realizados) e Efetividade (que mostra o grau com que serviços e ações atingem os resultados esperados). Utiliza-se a Análise de Componentes Principais (PCA), para calcula</w:t>
      </w:r>
      <w:r>
        <w:t>r o peso desses 24 indicadores. Os</w:t>
      </w:r>
      <w:r w:rsidRPr="000C328F">
        <w:t xml:space="preserve"> subconjuntos </w:t>
      </w:r>
      <w:r>
        <w:t>‘Í</w:t>
      </w:r>
      <w:r w:rsidR="005C2B3B">
        <w:t xml:space="preserve">ndice de Acesso Potencial ou </w:t>
      </w:r>
      <w:proofErr w:type="spellStart"/>
      <w:r w:rsidR="005C2B3B">
        <w:t>Obtido</w:t>
      </w:r>
      <w:r>
        <w:t>o</w:t>
      </w:r>
      <w:proofErr w:type="spellEnd"/>
      <w:r>
        <w:t xml:space="preserve"> do SUS’ e ‘Índice de Efetividade do SUS’ são</w:t>
      </w:r>
      <w:r w:rsidRPr="000C328F">
        <w:t xml:space="preserve"> submetidos à metodologia de Análise de Cluster pelo método K-</w:t>
      </w:r>
      <w:proofErr w:type="spellStart"/>
      <w:r w:rsidRPr="000C328F">
        <w:t>means</w:t>
      </w:r>
      <w:proofErr w:type="spellEnd"/>
      <w:r>
        <w:t xml:space="preserve"> </w:t>
      </w:r>
      <w:r w:rsidRPr="000C328F">
        <w:t>para encontrar os grupos homogêneos de municípios passíveis de comparação</w:t>
      </w:r>
      <w:r w:rsidR="00196D2E">
        <w:t>,</w:t>
      </w:r>
      <w:r w:rsidRPr="000C328F">
        <w:t xml:space="preserve"> </w:t>
      </w:r>
      <w:r w:rsidR="0031751F" w:rsidRPr="000C328F">
        <w:t>co</w:t>
      </w:r>
      <w:r w:rsidR="00196D2E">
        <w:t>nforme pode ser visto</w:t>
      </w:r>
      <w:r w:rsidR="0031751F" w:rsidRPr="000C328F">
        <w:t xml:space="preserve"> na figura </w:t>
      </w:r>
      <w:proofErr w:type="spellStart"/>
      <w:r w:rsidR="0031751F" w:rsidRPr="005C2B3B">
        <w:rPr>
          <w:highlight w:val="yellow"/>
        </w:rPr>
        <w:t>xxxxxxxxxxx</w:t>
      </w:r>
      <w:proofErr w:type="spellEnd"/>
      <w:r w:rsidR="0031751F" w:rsidRPr="005C2B3B">
        <w:rPr>
          <w:highlight w:val="yellow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2D2A" w:rsidTr="00592D2A">
        <w:tc>
          <w:tcPr>
            <w:tcW w:w="8494" w:type="dxa"/>
          </w:tcPr>
          <w:p w:rsidR="00592D2A" w:rsidRDefault="00592D2A" w:rsidP="00592D2A">
            <w:pPr>
              <w:jc w:val="both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2919146" wp14:editId="757EDB0E">
                  <wp:extent cx="5400040" cy="2737485"/>
                  <wp:effectExtent l="0" t="0" r="0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D2A" w:rsidTr="00592D2A">
        <w:tc>
          <w:tcPr>
            <w:tcW w:w="8494" w:type="dxa"/>
          </w:tcPr>
          <w:p w:rsidR="00592D2A" w:rsidRDefault="005C2B3B" w:rsidP="00592D2A">
            <w:pPr>
              <w:jc w:val="both"/>
            </w:pPr>
            <w:r w:rsidRPr="005C2B3B">
              <w:rPr>
                <w:highlight w:val="yellow"/>
              </w:rPr>
              <w:t xml:space="preserve">Fig. </w:t>
            </w:r>
            <w:proofErr w:type="spellStart"/>
            <w:r w:rsidRPr="005C2B3B">
              <w:rPr>
                <w:highlight w:val="yellow"/>
              </w:rPr>
              <w:t>xxxx</w:t>
            </w:r>
            <w:proofErr w:type="spellEnd"/>
          </w:p>
        </w:tc>
      </w:tr>
    </w:tbl>
    <w:p w:rsidR="00196D2E" w:rsidRDefault="00196D2E"/>
    <w:p w:rsidR="002D604F" w:rsidRDefault="002D604F" w:rsidP="002D604F">
      <w:pPr>
        <w:pStyle w:val="ABNTtexto"/>
      </w:pPr>
      <w:r>
        <w:tab/>
      </w:r>
      <w:r w:rsidR="00196D2E">
        <w:t>O resultado da clusterização, po</w:t>
      </w:r>
      <w:r w:rsidR="003E6FBB">
        <w:t>r</w:t>
      </w:r>
      <w:r w:rsidR="00196D2E">
        <w:t xml:space="preserve"> região do país, pode ser visto na tabela </w:t>
      </w:r>
      <w:proofErr w:type="spellStart"/>
      <w:r w:rsidR="00196D2E" w:rsidRPr="005C2B3B">
        <w:rPr>
          <w:highlight w:val="yellow"/>
        </w:rPr>
        <w:t>xxxxxxxx</w:t>
      </w:r>
      <w:proofErr w:type="spellEnd"/>
      <w:r>
        <w:t xml:space="preserve"> referente ao IDSUS de 2010</w:t>
      </w:r>
      <w:r w:rsidR="00196D2E">
        <w:t>. Os dados mostram que o grupo homogêneo 3 (ID3) representa 1.623 municípi</w:t>
      </w:r>
      <w:r w:rsidR="005C2B3B">
        <w:t>os, o grupo com mais municípios nele</w:t>
      </w:r>
      <w:r w:rsidR="00196D2E">
        <w:t xml:space="preserve">, muito embora represente apenas 13.6% da população brasileira de 2010. Os grupos homogêneos com melhor desempenho (ID1 e ID2) totalizam 1.776 municípios com </w:t>
      </w:r>
      <w:r w:rsidR="003E6FBB">
        <w:t>18.9% da população de 2010. O ID4 corresponde à 579 municípios que abran</w:t>
      </w:r>
      <w:r w:rsidR="005C2B3B">
        <w:t>gem 41.1% da população de 2010,</w:t>
      </w:r>
      <w:r w:rsidR="003E6FBB">
        <w:t xml:space="preserve"> tratando</w:t>
      </w:r>
      <w:r w:rsidR="005C2B3B">
        <w:t>-se</w:t>
      </w:r>
      <w:r w:rsidR="003E6FBB">
        <w:t xml:space="preserve"> das cidades de médio e grande porte. O ID4 e ID5, as classificações mais baixas, correspondem à 1.585 municípios com o total de 26.5% da população brasileira. </w:t>
      </w:r>
    </w:p>
    <w:p w:rsidR="00196D2E" w:rsidRDefault="002D604F" w:rsidP="002D604F">
      <w:pPr>
        <w:pStyle w:val="ABNTtexto"/>
      </w:pPr>
      <w:r>
        <w:tab/>
        <w:t>Outro</w:t>
      </w:r>
      <w:r w:rsidR="003E6FBB">
        <w:t xml:space="preserve"> fator importante apontado pela tabela é a disparidade de qualidade de atendimento do SUS por região do país. Enquanto sul e sudes</w:t>
      </w:r>
      <w:r w:rsidR="005C2B3B">
        <w:t>te somam 1.631 municípios com ID</w:t>
      </w:r>
      <w:r w:rsidR="003E6FBB">
        <w:t xml:space="preserve">SUS nos grupos homogêneos </w:t>
      </w:r>
      <w:r>
        <w:t>ID</w:t>
      </w:r>
      <w:r w:rsidR="003E6FBB">
        <w:t xml:space="preserve">1 e </w:t>
      </w:r>
      <w:r>
        <w:t>ID</w:t>
      </w:r>
      <w:r w:rsidR="003E6FBB">
        <w:t xml:space="preserve">2 e 201 municípios nos grupos </w:t>
      </w:r>
      <w:r>
        <w:t>ID</w:t>
      </w:r>
      <w:r w:rsidR="003E6FBB">
        <w:t xml:space="preserve">5 e </w:t>
      </w:r>
      <w:r>
        <w:t>ID</w:t>
      </w:r>
      <w:r w:rsidR="003E6FBB">
        <w:t xml:space="preserve">6, </w:t>
      </w:r>
      <w:r>
        <w:t xml:space="preserve">as regiões norte, nordeste e centro-oeste concentram 145 municípios nos grupos homogêneos ID1 e ID2 contra 1.384 municípios nos grupos ID5 e ID6, de pior desempenho.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2B3B" w:rsidTr="002B2431">
        <w:tc>
          <w:tcPr>
            <w:tcW w:w="8494" w:type="dxa"/>
          </w:tcPr>
          <w:p w:rsidR="005C2B3B" w:rsidRDefault="005C2B3B" w:rsidP="002B2431"/>
        </w:tc>
      </w:tr>
      <w:tr w:rsidR="00AB15B7" w:rsidTr="002B2431">
        <w:tc>
          <w:tcPr>
            <w:tcW w:w="8494" w:type="dxa"/>
          </w:tcPr>
          <w:p w:rsidR="005C2B3B" w:rsidRDefault="005C2B3B" w:rsidP="002B2431">
            <w:proofErr w:type="gramStart"/>
            <w:r>
              <w:t>tabela</w:t>
            </w:r>
            <w:proofErr w:type="gramEnd"/>
            <w:r>
              <w:t xml:space="preserve"> </w:t>
            </w:r>
            <w:proofErr w:type="spellStart"/>
            <w:r w:rsidRPr="005C2B3B">
              <w:rPr>
                <w:highlight w:val="yellow"/>
              </w:rPr>
              <w:t>xxxxxxxx</w:t>
            </w:r>
            <w:proofErr w:type="spellEnd"/>
            <w:r>
              <w:t xml:space="preserve"> :</w:t>
            </w:r>
          </w:p>
          <w:p w:rsidR="00AB15B7" w:rsidRDefault="00AB15B7" w:rsidP="002B2431">
            <w:r>
              <w:t>Distribuição dos municípios, população total e população exclusivamente SUS, por região brasileira e por cl</w:t>
            </w:r>
            <w:r w:rsidR="005C2B3B">
              <w:t>uster de municípios segundo o ID</w:t>
            </w:r>
            <w:r>
              <w:t>SUS 2010.</w:t>
            </w:r>
          </w:p>
        </w:tc>
      </w:tr>
      <w:tr w:rsidR="00AB15B7" w:rsidTr="002B2431">
        <w:tc>
          <w:tcPr>
            <w:tcW w:w="8494" w:type="dxa"/>
          </w:tcPr>
          <w:p w:rsidR="00AB15B7" w:rsidRDefault="00AB15B7" w:rsidP="002B2431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9F0D834" wp14:editId="77A2FFE1">
                  <wp:extent cx="5229898" cy="2304288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826" cy="232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5B7" w:rsidRDefault="00AB15B7"/>
    <w:p w:rsidR="00262A1B" w:rsidRDefault="00E15960">
      <w:hyperlink r:id="rId10" w:history="1">
        <w:r w:rsidR="000C2424" w:rsidRPr="00D77128">
          <w:rPr>
            <w:rStyle w:val="Hyperlink"/>
          </w:rPr>
          <w:t>http://idsus.saude.gov.br/grupos.html</w:t>
        </w:r>
      </w:hyperlink>
    </w:p>
    <w:p w:rsidR="000C2424" w:rsidRDefault="000C2424"/>
    <w:p w:rsidR="00AB15B7" w:rsidRDefault="00AB15B7"/>
    <w:p w:rsidR="00AB15B7" w:rsidRDefault="00AB15B7"/>
    <w:p w:rsidR="00A679E8" w:rsidRPr="001334BC" w:rsidRDefault="00B94477" w:rsidP="00B94477">
      <w:pPr>
        <w:pStyle w:val="PargrafodaLista"/>
        <w:numPr>
          <w:ilvl w:val="1"/>
          <w:numId w:val="3"/>
        </w:numPr>
        <w:rPr>
          <w:b/>
        </w:rPr>
      </w:pPr>
      <w:r w:rsidRPr="001334BC">
        <w:rPr>
          <w:b/>
        </w:rPr>
        <w:t xml:space="preserve"> </w:t>
      </w:r>
      <w:r w:rsidR="00A679E8" w:rsidRPr="001334BC">
        <w:rPr>
          <w:b/>
        </w:rPr>
        <w:t>C</w:t>
      </w:r>
      <w:r w:rsidR="001334BC">
        <w:rPr>
          <w:b/>
        </w:rPr>
        <w:t>enso 1010</w:t>
      </w:r>
    </w:p>
    <w:p w:rsidR="009C22FB" w:rsidRDefault="002D604F" w:rsidP="009C22FB">
      <w:pPr>
        <w:pStyle w:val="ABNTtexto"/>
      </w:pPr>
      <w:r>
        <w:tab/>
        <w:t xml:space="preserve">A última operação censitária no Brasil foi em 2010 </w:t>
      </w:r>
      <w:r w:rsidR="009C22FB">
        <w:t xml:space="preserve">realizada pelo Instituto Brasileiro de Geografia e Estatística (IBGE). A operação censitária percorre todas as cidades do país. No Censo 2010 foram 5.565 municípios e mais de 67 milhões de domicílios visitados. Os resultados do Censo retratam a população brasileira e suas características socioeconômicas que podem servir como base para o planejamento público. </w:t>
      </w:r>
    </w:p>
    <w:p w:rsidR="00B94477" w:rsidRDefault="009C22FB" w:rsidP="009C22FB">
      <w:pPr>
        <w:pStyle w:val="ABNTtexto"/>
      </w:pPr>
      <w:r>
        <w:tab/>
        <w:t xml:space="preserve">Um resumo dos dados coletados pelo Censo pode ser obtido pelos Indicadores Sociais Municipais que contam com 17 tabelas para cada estado brasileiro </w:t>
      </w:r>
      <w:r w:rsidRPr="005C2B3B">
        <w:rPr>
          <w:highlight w:val="yellow"/>
        </w:rPr>
        <w:t>[</w:t>
      </w:r>
      <w:proofErr w:type="spellStart"/>
      <w:r w:rsidRPr="005C2B3B">
        <w:rPr>
          <w:highlight w:val="yellow"/>
        </w:rPr>
        <w:t>xxxxx</w:t>
      </w:r>
      <w:proofErr w:type="spellEnd"/>
      <w:r w:rsidRPr="005C2B3B">
        <w:rPr>
          <w:highlight w:val="yellow"/>
        </w:rPr>
        <w:t>].</w:t>
      </w:r>
      <w:r>
        <w:t xml:space="preserve"> Nesses dados são retratados para cada município tamanho da população, faixa etária, unidades domésticas e concentração de moradores, acesso à esgo</w:t>
      </w:r>
      <w:r w:rsidR="005C2B3B">
        <w:t xml:space="preserve">to, etnia, renda e escolaridade, conforme a lista da tabela </w:t>
      </w:r>
      <w:proofErr w:type="spellStart"/>
      <w:r w:rsidR="005C2B3B">
        <w:t>xxxx</w:t>
      </w:r>
      <w:proofErr w:type="spellEnd"/>
      <w:r w:rsidR="005C2B3B">
        <w:t xml:space="preserve">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0"/>
        <w:gridCol w:w="7724"/>
      </w:tblGrid>
      <w:tr w:rsidR="005C2B3B" w:rsidRPr="005C2B3B" w:rsidTr="0058084D">
        <w:tc>
          <w:tcPr>
            <w:tcW w:w="8494" w:type="dxa"/>
            <w:gridSpan w:val="2"/>
          </w:tcPr>
          <w:p w:rsidR="005C2B3B" w:rsidRPr="005C2B3B" w:rsidRDefault="005C2B3B" w:rsidP="005C2B3B">
            <w:pPr>
              <w:pStyle w:val="ABNTtexto"/>
              <w:rPr>
                <w:sz w:val="20"/>
                <w:szCs w:val="20"/>
              </w:rPr>
            </w:pPr>
            <w:r w:rsidRPr="005C2B3B">
              <w:rPr>
                <w:sz w:val="20"/>
                <w:szCs w:val="20"/>
              </w:rPr>
              <w:t xml:space="preserve">Tabela </w:t>
            </w:r>
            <w:proofErr w:type="spellStart"/>
            <w:r w:rsidRPr="005C2B3B">
              <w:rPr>
                <w:sz w:val="20"/>
                <w:szCs w:val="20"/>
              </w:rPr>
              <w:t>xxxx</w:t>
            </w:r>
            <w:proofErr w:type="spellEnd"/>
            <w:r w:rsidRPr="005C2B3B">
              <w:rPr>
                <w:sz w:val="20"/>
                <w:szCs w:val="20"/>
              </w:rPr>
              <w:t>:</w:t>
            </w:r>
          </w:p>
          <w:p w:rsidR="005C2B3B" w:rsidRPr="005C2B3B" w:rsidRDefault="005C2B3B" w:rsidP="005C2B3B">
            <w:pPr>
              <w:pStyle w:val="ABNTtexto"/>
              <w:rPr>
                <w:sz w:val="20"/>
                <w:szCs w:val="20"/>
              </w:rPr>
            </w:pPr>
            <w:r w:rsidRPr="005C2B3B">
              <w:rPr>
                <w:sz w:val="20"/>
                <w:szCs w:val="20"/>
              </w:rPr>
              <w:t xml:space="preserve">Lista das 17 planilhas que compõem os pelos Indicadores Sociais Municipais do Censo 2010. 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E72E82" w:rsidRDefault="005C2B3B" w:rsidP="00E72E82">
            <w:pPr>
              <w:pStyle w:val="ABNTtexto"/>
              <w:jc w:val="center"/>
              <w:rPr>
                <w:b/>
                <w:sz w:val="20"/>
                <w:szCs w:val="20"/>
              </w:rPr>
            </w:pPr>
            <w:r w:rsidRPr="00E72E82">
              <w:rPr>
                <w:b/>
                <w:sz w:val="20"/>
                <w:szCs w:val="20"/>
              </w:rPr>
              <w:t>Tabela</w:t>
            </w:r>
          </w:p>
        </w:tc>
        <w:tc>
          <w:tcPr>
            <w:tcW w:w="7790" w:type="dxa"/>
          </w:tcPr>
          <w:p w:rsidR="00DF2147" w:rsidRPr="00E72E82" w:rsidRDefault="00E72E82" w:rsidP="00E72E82">
            <w:pPr>
              <w:pStyle w:val="ABNTtexto"/>
              <w:jc w:val="center"/>
              <w:rPr>
                <w:b/>
                <w:sz w:val="20"/>
                <w:szCs w:val="20"/>
              </w:rPr>
            </w:pPr>
            <w:r w:rsidRPr="00E72E82">
              <w:rPr>
                <w:b/>
                <w:sz w:val="20"/>
                <w:szCs w:val="20"/>
              </w:rPr>
              <w:t>Descrição do tipo de Dado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Percentual </w:t>
            </w:r>
            <w:r w:rsidR="00E72E82" w:rsidRPr="00230254">
              <w:rPr>
                <w:sz w:val="18"/>
                <w:szCs w:val="18"/>
              </w:rPr>
              <w:t xml:space="preserve">de </w:t>
            </w:r>
            <w:r w:rsidRPr="00230254">
              <w:rPr>
                <w:sz w:val="18"/>
                <w:szCs w:val="18"/>
              </w:rPr>
              <w:t>Distribuição Urbano / Rural - Homem / Mulher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2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Distribuição percentual, por grupos de idade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3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Pessoas de 15 anos ou mais de idade que não sabem ler e escrever, total e respectivas taxas de analfabetismo, por grupos de idade (%)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4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Unidades domésticas, por sexo das pessoas responsáveis pelos domicílios particulares permanentes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5</w:t>
            </w:r>
          </w:p>
        </w:tc>
        <w:tc>
          <w:tcPr>
            <w:tcW w:w="7790" w:type="dxa"/>
          </w:tcPr>
          <w:p w:rsidR="00DF2147" w:rsidRPr="00230254" w:rsidRDefault="00DF2147" w:rsidP="00230254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Unidades domésticas, por tipo </w:t>
            </w:r>
            <w:proofErr w:type="gramStart"/>
            <w:r w:rsidRPr="00230254">
              <w:rPr>
                <w:sz w:val="18"/>
                <w:szCs w:val="18"/>
              </w:rPr>
              <w:t>( Único</w:t>
            </w:r>
            <w:proofErr w:type="gramEnd"/>
            <w:r w:rsidRPr="00230254">
              <w:rPr>
                <w:sz w:val="18"/>
                <w:szCs w:val="18"/>
              </w:rPr>
              <w:t xml:space="preserve"> responsável / Com mais de Responsável 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7790" w:type="dxa"/>
          </w:tcPr>
          <w:p w:rsidR="00DF2147" w:rsidRPr="00230254" w:rsidRDefault="00E72E82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Unidades domésticas, por tipo </w:t>
            </w:r>
            <w:r w:rsidR="00DF2147" w:rsidRPr="00230254">
              <w:rPr>
                <w:sz w:val="18"/>
                <w:szCs w:val="18"/>
              </w:rPr>
              <w:t>(Estrutura familiar - Casal com filhos, homem com filhos</w:t>
            </w:r>
            <w:r w:rsidRPr="00230254">
              <w:rPr>
                <w:sz w:val="18"/>
                <w:szCs w:val="18"/>
              </w:rPr>
              <w:t xml:space="preserve"> etc.</w:t>
            </w:r>
            <w:r w:rsidR="00DF2147" w:rsidRPr="00230254">
              <w:rPr>
                <w:sz w:val="18"/>
                <w:szCs w:val="18"/>
              </w:rPr>
              <w:t>)</w:t>
            </w:r>
            <w:r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7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 xml:space="preserve">Domicílios particulares permanentes Distribuição percentual, por tipo de saneamento (Adequado, </w:t>
            </w:r>
            <w:proofErr w:type="spellStart"/>
            <w:r w:rsidRPr="00230254">
              <w:rPr>
                <w:sz w:val="18"/>
                <w:szCs w:val="18"/>
              </w:rPr>
              <w:t>Semi-Adequado</w:t>
            </w:r>
            <w:proofErr w:type="spellEnd"/>
            <w:r w:rsidRPr="00230254">
              <w:rPr>
                <w:sz w:val="18"/>
                <w:szCs w:val="18"/>
              </w:rPr>
              <w:t>, Inadequado)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8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Rendimento mensal total domiciliar per capita nominal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9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Valor médio e mediano do rendimento mensal total nominal, por sexo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10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Valor médio do rendimento mensal total nominal, por cor ou raça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11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Razão entre médias do rendimento mensal total nominal, por cor ou raça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12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Proporção de pessoas residentes em domicílios particulares permanentes, por classes selecionadas de rendimento mensal total domiciliar per capita nominal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13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População residente em domicílio particulares permanentes com saneamento inadequado Proporção de pessoas, por classes selecionadas de rendimento mensal total domiciliar per capita nominal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14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Taxa de analfabetismo da população de 15 anos ou mais de idade por grupos de idade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15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Proporção de domicílios particulares permanentes, por tipo de saneamento Ano 2000/2010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16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Proporção de crianças de 0 a 5 anos de idade, residentes em domicí</w:t>
            </w:r>
            <w:r w:rsidR="00E72E82" w:rsidRPr="00230254">
              <w:rPr>
                <w:sz w:val="18"/>
                <w:szCs w:val="18"/>
              </w:rPr>
              <w:t>lios particulares permanentes (c</w:t>
            </w:r>
            <w:r w:rsidRPr="00230254">
              <w:rPr>
                <w:sz w:val="18"/>
                <w:szCs w:val="18"/>
              </w:rPr>
              <w:t>om resp</w:t>
            </w:r>
            <w:r w:rsidR="00E72E82" w:rsidRPr="00230254">
              <w:rPr>
                <w:sz w:val="18"/>
                <w:szCs w:val="18"/>
              </w:rPr>
              <w:t>onsável ou cônjuge analfabeto, com saneamento inadequado</w:t>
            </w:r>
            <w:r w:rsidRPr="00230254">
              <w:rPr>
                <w:sz w:val="18"/>
                <w:szCs w:val="18"/>
              </w:rPr>
              <w:t xml:space="preserve">, </w:t>
            </w:r>
            <w:r w:rsidR="00E72E82" w:rsidRPr="00230254">
              <w:rPr>
                <w:sz w:val="18"/>
                <w:szCs w:val="18"/>
              </w:rPr>
              <w:t>c</w:t>
            </w:r>
            <w:r w:rsidRPr="00230254">
              <w:rPr>
                <w:sz w:val="18"/>
                <w:szCs w:val="18"/>
              </w:rPr>
              <w:t>om responsável ou cônjuge analfa</w:t>
            </w:r>
            <w:r w:rsidR="00E72E82" w:rsidRPr="00230254">
              <w:rPr>
                <w:sz w:val="18"/>
                <w:szCs w:val="18"/>
              </w:rPr>
              <w:t>beto e saneamento inadequado</w:t>
            </w:r>
            <w:r w:rsidRPr="00230254">
              <w:rPr>
                <w:sz w:val="18"/>
                <w:szCs w:val="18"/>
              </w:rPr>
              <w:t>)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  <w:tr w:rsidR="00DF2147" w:rsidRPr="005C2B3B" w:rsidTr="002B2431">
        <w:tc>
          <w:tcPr>
            <w:tcW w:w="704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jc w:val="center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17</w:t>
            </w:r>
          </w:p>
        </w:tc>
        <w:tc>
          <w:tcPr>
            <w:tcW w:w="7790" w:type="dxa"/>
          </w:tcPr>
          <w:p w:rsidR="00DF2147" w:rsidRPr="00230254" w:rsidRDefault="00DF2147" w:rsidP="00E72E82">
            <w:pPr>
              <w:pStyle w:val="ABNTtexto"/>
              <w:spacing w:after="160" w:line="240" w:lineRule="auto"/>
              <w:rPr>
                <w:sz w:val="18"/>
                <w:szCs w:val="18"/>
              </w:rPr>
            </w:pPr>
            <w:r w:rsidRPr="00230254">
              <w:rPr>
                <w:sz w:val="18"/>
                <w:szCs w:val="18"/>
              </w:rPr>
              <w:t>Pessoas de 10 anos de idade que não sabem ler e escrever, total e respectiva taxa de analfabetismo</w:t>
            </w:r>
            <w:r w:rsidR="00E72E82" w:rsidRPr="00230254">
              <w:rPr>
                <w:sz w:val="18"/>
                <w:szCs w:val="18"/>
              </w:rPr>
              <w:t>.</w:t>
            </w:r>
          </w:p>
        </w:tc>
      </w:tr>
    </w:tbl>
    <w:p w:rsidR="00D03726" w:rsidRPr="00D03726" w:rsidRDefault="00D03726" w:rsidP="00D03726">
      <w:pPr>
        <w:pStyle w:val="ABNTtexto"/>
        <w:numPr>
          <w:ilvl w:val="1"/>
          <w:numId w:val="3"/>
        </w:numPr>
        <w:rPr>
          <w:b/>
        </w:rPr>
      </w:pPr>
      <w:r w:rsidRPr="00D03726">
        <w:rPr>
          <w:b/>
        </w:rPr>
        <w:t>Modelos Preditivos</w:t>
      </w:r>
    </w:p>
    <w:p w:rsidR="00D03726" w:rsidRDefault="00D03726" w:rsidP="009C22FB">
      <w:pPr>
        <w:pStyle w:val="ABNTtexto"/>
      </w:pPr>
      <w:r>
        <w:tab/>
        <w:t>Um modelo preditivo, de forma simplificada, é um algoritmo com capacidade de ser aplicado a uma grande quantidade de dados e retornar padrões</w:t>
      </w:r>
      <w:r w:rsidR="00E72E82">
        <w:t xml:space="preserve"> do </w:t>
      </w:r>
      <w:proofErr w:type="spellStart"/>
      <w:r w:rsidR="00E72E82">
        <w:t>dataset</w:t>
      </w:r>
      <w:proofErr w:type="spellEnd"/>
      <w:r w:rsidR="00E72E82">
        <w:t xml:space="preserve"> em questão</w:t>
      </w:r>
      <w:r>
        <w:t xml:space="preserve">. Entre vários algoritmos de aprendizado de máquina que atuam como modelos </w:t>
      </w:r>
      <w:proofErr w:type="spellStart"/>
      <w:r>
        <w:t>preditores</w:t>
      </w:r>
      <w:proofErr w:type="spellEnd"/>
      <w:r>
        <w:t xml:space="preserve">, será abordado aqui dois algoritmos baseados em árvores de decisão, sendo eles </w:t>
      </w:r>
      <w:proofErr w:type="spellStart"/>
      <w:r>
        <w:t>Random</w:t>
      </w:r>
      <w:proofErr w:type="spellEnd"/>
      <w:r>
        <w:t xml:space="preserve"> Forest e Extra </w:t>
      </w:r>
      <w:proofErr w:type="spellStart"/>
      <w:r>
        <w:t>Trees</w:t>
      </w:r>
      <w:proofErr w:type="spellEnd"/>
      <w:r>
        <w:t>.</w:t>
      </w:r>
      <w:r w:rsidR="00E06D31">
        <w:t xml:space="preserve"> </w:t>
      </w:r>
      <w:r w:rsidR="00E06D31" w:rsidRPr="00957614">
        <w:t>Embora os dois algoritmos utilizem árvores de decisão, a diferença está na quantidade de processos aleatórios empregados em cada </w:t>
      </w:r>
      <w:hyperlink r:id="rId11" w:history="1">
        <w:r w:rsidR="00E06D31" w:rsidRPr="00957614">
          <w:t>algoritmo</w:t>
        </w:r>
      </w:hyperlink>
      <w:r w:rsidR="00E06D31" w:rsidRPr="00957614">
        <w:t>.</w:t>
      </w:r>
    </w:p>
    <w:p w:rsidR="00D03726" w:rsidRDefault="00D03726" w:rsidP="00D03726">
      <w:pPr>
        <w:pStyle w:val="ABNTtexto"/>
      </w:pPr>
      <w:r>
        <w:tab/>
      </w:r>
      <w:r w:rsidRPr="00957614">
        <w:t xml:space="preserve">O </w:t>
      </w:r>
      <w:proofErr w:type="spellStart"/>
      <w:r w:rsidRPr="00957614">
        <w:t>Random</w:t>
      </w:r>
      <w:proofErr w:type="spellEnd"/>
      <w:r w:rsidRPr="00957614">
        <w:t xml:space="preserve"> </w:t>
      </w:r>
      <w:proofErr w:type="spellStart"/>
      <w:r w:rsidRPr="00957614">
        <w:t>forest</w:t>
      </w:r>
      <w:proofErr w:type="spellEnd"/>
      <w:r w:rsidRPr="00957614">
        <w:t xml:space="preserve"> é um algoritmo que combina n árvores de decisão, sendo o total de </w:t>
      </w:r>
      <w:r w:rsidRPr="00CC2D4E">
        <w:t xml:space="preserve">árvores (n) passado como parâmetro. Cada uma dessas árvores utiliza um subconjunto das variáveis </w:t>
      </w:r>
      <w:proofErr w:type="spellStart"/>
      <w:r w:rsidRPr="00CC2D4E">
        <w:t>preditoras</w:t>
      </w:r>
      <w:proofErr w:type="spellEnd"/>
      <w:r w:rsidRPr="00CC2D4E">
        <w:t xml:space="preserve">. A classificação acontece pela contagem da maioria dos votos das árvores e a regressão pela média dos votos de cada árvore. No </w:t>
      </w:r>
      <w:proofErr w:type="spellStart"/>
      <w:r w:rsidRPr="00CC2D4E">
        <w:t>Random</w:t>
      </w:r>
      <w:proofErr w:type="spellEnd"/>
      <w:r w:rsidRPr="00CC2D4E">
        <w:t xml:space="preserve"> </w:t>
      </w:r>
      <w:proofErr w:type="spellStart"/>
      <w:r w:rsidRPr="00CC2D4E">
        <w:t>forest</w:t>
      </w:r>
      <w:proofErr w:type="spellEnd"/>
      <w:r w:rsidRPr="00CC2D4E">
        <w:t xml:space="preserve"> há randomização da </w:t>
      </w:r>
      <w:r w:rsidRPr="00CC2D4E">
        <w:rPr>
          <w:bCs/>
        </w:rPr>
        <w:t xml:space="preserve">seleção de variáveis e da seleção de amostras, mas o </w:t>
      </w:r>
      <w:proofErr w:type="spellStart"/>
      <w:r w:rsidR="00E72E82">
        <w:t>threshold</w:t>
      </w:r>
      <w:proofErr w:type="spellEnd"/>
      <w:r w:rsidR="00E72E82">
        <w:t xml:space="preserve"> (</w:t>
      </w:r>
      <w:proofErr w:type="spellStart"/>
      <w:r w:rsidR="00E72E82">
        <w:t>s</w:t>
      </w:r>
      <w:r w:rsidRPr="00CC2D4E">
        <w:t>plit</w:t>
      </w:r>
      <w:proofErr w:type="spellEnd"/>
      <w:r w:rsidRPr="00CC2D4E">
        <w:t xml:space="preserve"> dos dados) é escolhido de acordo com a melhor divisão encontrada pelo algoritmo. No</w:t>
      </w:r>
      <w:r>
        <w:t xml:space="preserve"> Extra </w:t>
      </w:r>
      <w:proofErr w:type="spellStart"/>
      <w:r>
        <w:t>Trees</w:t>
      </w:r>
      <w:proofErr w:type="spellEnd"/>
      <w:r>
        <w:t xml:space="preserve">, sua diferença em relação ao </w:t>
      </w:r>
      <w:proofErr w:type="spellStart"/>
      <w:r>
        <w:t>Random</w:t>
      </w:r>
      <w:proofErr w:type="spellEnd"/>
      <w:r>
        <w:t xml:space="preserve"> Forest é que a escolha do </w:t>
      </w:r>
      <w:proofErr w:type="spellStart"/>
      <w:r>
        <w:t>threshold</w:t>
      </w:r>
      <w:proofErr w:type="spellEnd"/>
      <w:r>
        <w:t xml:space="preserve"> também é aleatória.</w:t>
      </w:r>
    </w:p>
    <w:p w:rsidR="00D03726" w:rsidRDefault="00D03726" w:rsidP="00D03726">
      <w:pPr>
        <w:pStyle w:val="ABNTtexto"/>
      </w:pPr>
      <w:r>
        <w:tab/>
        <w:t xml:space="preserve">Em termos práticos, a escolha do </w:t>
      </w:r>
      <w:proofErr w:type="spellStart"/>
      <w:r>
        <w:t>threshold</w:t>
      </w:r>
      <w:proofErr w:type="spellEnd"/>
      <w:r>
        <w:t xml:space="preserve"> aleatório fará com que cada árvore seja mais fraca na sua capacidade de predição. Isso pod</w:t>
      </w:r>
      <w:r w:rsidR="00A83011">
        <w:t xml:space="preserve">e reduzir a capacidade de </w:t>
      </w:r>
      <w:proofErr w:type="spellStart"/>
      <w:r w:rsidR="00A83011">
        <w:t>envies</w:t>
      </w:r>
      <w:r>
        <w:t>amento</w:t>
      </w:r>
      <w:proofErr w:type="spellEnd"/>
      <w:r>
        <w:t xml:space="preserve"> do combinado de árvores, permitindo que o modelo em si se torne mais generalista. Consequentemente, é de extrema importância que o Extra </w:t>
      </w:r>
      <w:proofErr w:type="spellStart"/>
      <w:r>
        <w:t>Trees</w:t>
      </w:r>
      <w:proofErr w:type="spellEnd"/>
      <w:r>
        <w:t xml:space="preserve"> trabalhe com variáveis re</w:t>
      </w:r>
      <w:r w:rsidR="00A83011">
        <w:t xml:space="preserve">presentativas e que, portanto, </w:t>
      </w:r>
      <w:r>
        <w:t xml:space="preserve">haja uma pré-seleção das mesmas.  </w:t>
      </w:r>
    </w:p>
    <w:p w:rsidR="00A679E8" w:rsidRPr="001334BC" w:rsidRDefault="00B94477" w:rsidP="00B94477">
      <w:pPr>
        <w:pStyle w:val="PargrafodaLista"/>
        <w:numPr>
          <w:ilvl w:val="1"/>
          <w:numId w:val="3"/>
        </w:numPr>
        <w:rPr>
          <w:b/>
        </w:rPr>
      </w:pPr>
      <w:r w:rsidRPr="001334BC">
        <w:rPr>
          <w:b/>
        </w:rPr>
        <w:lastRenderedPageBreak/>
        <w:t>J</w:t>
      </w:r>
      <w:r w:rsidR="001334BC">
        <w:rPr>
          <w:b/>
        </w:rPr>
        <w:t>ustificativa</w:t>
      </w:r>
    </w:p>
    <w:p w:rsidR="001334BC" w:rsidRDefault="00B94477" w:rsidP="001334BC">
      <w:pPr>
        <w:pStyle w:val="ABNTtexto"/>
      </w:pPr>
      <w:r>
        <w:tab/>
        <w:t xml:space="preserve">Nos dois indicadores apresentados nos </w:t>
      </w:r>
      <w:r w:rsidR="00B03B49">
        <w:t>tópicos anteriores (IDSUS e Censo</w:t>
      </w:r>
      <w:r>
        <w:t xml:space="preserve">) há uma complexidade no processo de aquisição dos dados. No IDSUS há uma contagem de exames, procedimentos, internações </w:t>
      </w:r>
      <w:r w:rsidR="00B03B49">
        <w:t>e curas. O Censo</w:t>
      </w:r>
      <w:r>
        <w:t xml:space="preserve"> exige a visitação dos domicílios brasileiros</w:t>
      </w:r>
      <w:r w:rsidR="001334BC">
        <w:t xml:space="preserve"> em todas as cidades</w:t>
      </w:r>
      <w:r>
        <w:t>. Ambos exigem um alto empenho de coleta de dados para obtenção dos resultados</w:t>
      </w:r>
      <w:r w:rsidR="001334BC">
        <w:t xml:space="preserve"> e que envolvem um alto custo operacional. Seria de grande</w:t>
      </w:r>
      <w:r w:rsidR="00B03B49">
        <w:t xml:space="preserve"> valia que parte dos dados do C</w:t>
      </w:r>
      <w:r w:rsidR="001334BC">
        <w:t xml:space="preserve">enso, especialmente os dados mais fáceis de serem coletados, pudessem ser utilizados para predizer a classificação do IDSUS. </w:t>
      </w:r>
    </w:p>
    <w:p w:rsidR="00B94477" w:rsidRPr="001334BC" w:rsidRDefault="00B94477" w:rsidP="00B94477">
      <w:pPr>
        <w:pStyle w:val="PargrafodaLista"/>
        <w:numPr>
          <w:ilvl w:val="1"/>
          <w:numId w:val="3"/>
        </w:numPr>
        <w:rPr>
          <w:b/>
        </w:rPr>
      </w:pPr>
      <w:r w:rsidRPr="001334BC">
        <w:rPr>
          <w:b/>
        </w:rPr>
        <w:t>O</w:t>
      </w:r>
      <w:r w:rsidR="001334BC">
        <w:rPr>
          <w:b/>
        </w:rPr>
        <w:t>bjetivos</w:t>
      </w:r>
    </w:p>
    <w:p w:rsidR="001334BC" w:rsidRDefault="001334BC" w:rsidP="001334BC">
      <w:pPr>
        <w:pStyle w:val="ABNTtexto"/>
      </w:pPr>
      <w:r>
        <w:t>São descritos abaixo o objetivo</w:t>
      </w:r>
      <w:r w:rsidR="00A83011">
        <w:t>s</w:t>
      </w:r>
      <w:r>
        <w:t xml:space="preserve"> primário </w:t>
      </w:r>
      <w:r w:rsidR="00A83011">
        <w:t>e</w:t>
      </w:r>
      <w:r>
        <w:t xml:space="preserve"> secundários deste trabalho:</w:t>
      </w:r>
    </w:p>
    <w:p w:rsidR="001334BC" w:rsidRDefault="00A679E8" w:rsidP="001334BC">
      <w:pPr>
        <w:pStyle w:val="ABNTtexto"/>
      </w:pPr>
      <w:r>
        <w:t>Objetivo</w:t>
      </w:r>
      <w:r w:rsidR="001334BC">
        <w:t xml:space="preserve"> primário: </w:t>
      </w:r>
    </w:p>
    <w:p w:rsidR="001334BC" w:rsidRDefault="001334BC" w:rsidP="001334BC">
      <w:pPr>
        <w:pStyle w:val="ABNTtexto"/>
        <w:numPr>
          <w:ilvl w:val="0"/>
          <w:numId w:val="4"/>
        </w:numPr>
      </w:pPr>
      <w:r>
        <w:t>Desenvolver um sistema preditivo com aprendizado de máquina para a classificação do IDSUS 2010 dos municípios brasileiros</w:t>
      </w:r>
      <w:r w:rsidR="00B03B49">
        <w:t xml:space="preserve"> utilizando os dados do Censo</w:t>
      </w:r>
      <w:r>
        <w:t xml:space="preserve"> 2010. </w:t>
      </w:r>
    </w:p>
    <w:p w:rsidR="001334BC" w:rsidRDefault="001334BC" w:rsidP="001334BC">
      <w:pPr>
        <w:pStyle w:val="ABNTtexto"/>
      </w:pPr>
      <w:r>
        <w:t xml:space="preserve">Objetivos secundários: </w:t>
      </w:r>
    </w:p>
    <w:p w:rsidR="001334BC" w:rsidRDefault="001334BC" w:rsidP="001334BC">
      <w:pPr>
        <w:pStyle w:val="ABNTtexto"/>
        <w:numPr>
          <w:ilvl w:val="0"/>
          <w:numId w:val="4"/>
        </w:numPr>
      </w:pPr>
      <w:r>
        <w:t xml:space="preserve">Avaliar a diferença de desempenho entre algoritmos de Randon Forest e Extra </w:t>
      </w:r>
      <w:proofErr w:type="spellStart"/>
      <w:r>
        <w:t>Trees</w:t>
      </w:r>
      <w:proofErr w:type="spellEnd"/>
      <w:r>
        <w:t xml:space="preserve"> para o desempenho da tarefa do objetivo principal,</w:t>
      </w:r>
    </w:p>
    <w:p w:rsidR="001334BC" w:rsidRDefault="001334BC" w:rsidP="001334BC">
      <w:pPr>
        <w:pStyle w:val="ABNTtexto"/>
        <w:numPr>
          <w:ilvl w:val="0"/>
          <w:numId w:val="4"/>
        </w:numPr>
      </w:pPr>
      <w:r>
        <w:t xml:space="preserve">Apontar </w:t>
      </w:r>
      <w:r w:rsidR="00B03B49">
        <w:t>as variáveis (</w:t>
      </w:r>
      <w:proofErr w:type="spellStart"/>
      <w:r w:rsidR="00B03B49">
        <w:t>features</w:t>
      </w:r>
      <w:proofErr w:type="spellEnd"/>
      <w:r w:rsidR="00B03B49">
        <w:t>) do Censo</w:t>
      </w:r>
      <w:r>
        <w:t xml:space="preserve"> mais significativas para prever o IDSUS.</w:t>
      </w:r>
    </w:p>
    <w:p w:rsidR="00A679E8" w:rsidRPr="001334BC" w:rsidRDefault="00FC7000" w:rsidP="001334BC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MATERIAIS E MÉTODOS</w:t>
      </w:r>
    </w:p>
    <w:p w:rsidR="00B03B49" w:rsidRDefault="00B03B49" w:rsidP="00B03B49">
      <w:pPr>
        <w:pStyle w:val="PargrafodaLista"/>
      </w:pPr>
    </w:p>
    <w:p w:rsidR="00B03B49" w:rsidRDefault="00B03B49" w:rsidP="00B03B49">
      <w:pPr>
        <w:pStyle w:val="PargrafodaLista"/>
      </w:pPr>
      <w:r w:rsidRPr="00A83011">
        <w:rPr>
          <w:highlight w:val="yellow"/>
        </w:rPr>
        <w:t xml:space="preserve">Trazer o </w:t>
      </w:r>
      <w:proofErr w:type="spellStart"/>
      <w:r w:rsidRPr="00A83011">
        <w:rPr>
          <w:highlight w:val="yellow"/>
        </w:rPr>
        <w:t>github</w:t>
      </w:r>
      <w:proofErr w:type="spellEnd"/>
      <w:r w:rsidRPr="00A83011">
        <w:rPr>
          <w:highlight w:val="yellow"/>
        </w:rPr>
        <w:t>, falar das duas etapas abaixo</w:t>
      </w:r>
    </w:p>
    <w:p w:rsidR="00B03B49" w:rsidRDefault="00B03B49" w:rsidP="00B03B49">
      <w:pPr>
        <w:pStyle w:val="PargrafodaLista"/>
      </w:pPr>
    </w:p>
    <w:p w:rsidR="00B03B49" w:rsidRPr="00B03B49" w:rsidRDefault="00B03B49" w:rsidP="00B03B49">
      <w:pPr>
        <w:pStyle w:val="ABNTtexto"/>
        <w:numPr>
          <w:ilvl w:val="1"/>
          <w:numId w:val="3"/>
        </w:numPr>
        <w:rPr>
          <w:b/>
        </w:rPr>
      </w:pPr>
      <w:r w:rsidRPr="00B03B49">
        <w:rPr>
          <w:b/>
        </w:rPr>
        <w:t>Preparação dos dados</w:t>
      </w:r>
    </w:p>
    <w:p w:rsidR="009407B6" w:rsidRDefault="00FC7000" w:rsidP="00FC7000">
      <w:pPr>
        <w:pStyle w:val="ABNTtexto"/>
      </w:pPr>
      <w:r>
        <w:tab/>
      </w:r>
      <w:r w:rsidRPr="00FC7000">
        <w:t xml:space="preserve">Para a realização do modelo preditivo foi construído um </w:t>
      </w:r>
      <w:proofErr w:type="spellStart"/>
      <w:r w:rsidRPr="00FC7000">
        <w:t>dataset</w:t>
      </w:r>
      <w:proofErr w:type="spellEnd"/>
      <w:r w:rsidRPr="00FC7000">
        <w:t xml:space="preserve"> contendo todas as cidades brasileiras nas linhas e nas colunas os dados dos grupos homogêneos do IDSUS 2010 e os dados dos Indicadores Sociais Municipais do Censo 2010. Este </w:t>
      </w:r>
      <w:proofErr w:type="spellStart"/>
      <w:r w:rsidRPr="00FC7000">
        <w:t>dataset</w:t>
      </w:r>
      <w:proofErr w:type="spellEnd"/>
      <w:r w:rsidRPr="00FC7000">
        <w:t xml:space="preserve"> </w:t>
      </w:r>
      <w:r w:rsidR="005B79EF">
        <w:t xml:space="preserve">está </w:t>
      </w:r>
      <w:r w:rsidRPr="00FC7000">
        <w:t xml:space="preserve">disponível no repositório como ‘TABELA_CENSO_IDSUS_2010.csv’ </w:t>
      </w:r>
      <w:r w:rsidR="00A83011">
        <w:t xml:space="preserve">e </w:t>
      </w:r>
      <w:r w:rsidRPr="00FC7000">
        <w:t xml:space="preserve">conta com 5.560 </w:t>
      </w:r>
      <w:r w:rsidR="00A83011">
        <w:t xml:space="preserve">linhas de </w:t>
      </w:r>
      <w:r w:rsidRPr="00FC7000">
        <w:t>cid</w:t>
      </w:r>
      <w:r w:rsidR="005B79EF">
        <w:t>ades e 185 colunas de variáveis</w:t>
      </w:r>
      <w:r w:rsidR="00A83011">
        <w:t>. É</w:t>
      </w:r>
      <w:r w:rsidR="005B79EF">
        <w:t xml:space="preserve"> a partir dele que se executa o modelo preditivo.</w:t>
      </w:r>
      <w:r w:rsidR="00656F25">
        <w:t xml:space="preserve"> O total de 5.560 municípios já excluem Fernando de Noronha – PE e </w:t>
      </w:r>
      <w:proofErr w:type="spellStart"/>
      <w:r w:rsidR="00656F25">
        <w:t>Nazária</w:t>
      </w:r>
      <w:proofErr w:type="spellEnd"/>
      <w:r w:rsidR="00656F25">
        <w:t xml:space="preserve"> – PI por não terem dados do IDSUS, Brasília-DF por não constar nos </w:t>
      </w:r>
      <w:r w:rsidR="00656F25" w:rsidRPr="00FC7000">
        <w:t>Indicadores Sociais Municipais</w:t>
      </w:r>
      <w:r w:rsidR="00656F25">
        <w:t xml:space="preserve"> e São Valério da Natividade – </w:t>
      </w:r>
      <w:r w:rsidR="00656F25" w:rsidRPr="00656F25">
        <w:t>TO</w:t>
      </w:r>
      <w:r w:rsidR="00A83011">
        <w:t>,</w:t>
      </w:r>
      <w:r w:rsidR="00656F25">
        <w:t xml:space="preserve"> pois apresentou problemas na extração de dados. </w:t>
      </w:r>
    </w:p>
    <w:p w:rsidR="005B79EF" w:rsidRDefault="009407B6" w:rsidP="00FC7000">
      <w:pPr>
        <w:pStyle w:val="ABNTtexto"/>
      </w:pPr>
      <w:r>
        <w:lastRenderedPageBreak/>
        <w:tab/>
      </w:r>
      <w:r w:rsidR="005B79EF">
        <w:t xml:space="preserve">Da planilha do IDSUS 2010 </w:t>
      </w:r>
      <w:r w:rsidR="005B79EF" w:rsidRPr="00A83011">
        <w:rPr>
          <w:highlight w:val="yellow"/>
        </w:rPr>
        <w:t>[]</w:t>
      </w:r>
      <w:r w:rsidR="005B79EF">
        <w:t xml:space="preserve"> foram extraídas para uma planilha menor apenas as colunas com nome dos municípios, UF, ‘</w:t>
      </w:r>
      <w:proofErr w:type="spellStart"/>
      <w:r w:rsidR="005B79EF">
        <w:t>idsus_fx</w:t>
      </w:r>
      <w:proofErr w:type="spellEnd"/>
      <w:r w:rsidR="005B79EF">
        <w:t xml:space="preserve">’ e ‘Grupos Homogêneos’. O arquivo se encontra no repositório com o nome de ‘idSUS2010_cidades.xlsx’. </w:t>
      </w:r>
    </w:p>
    <w:p w:rsidR="005B79EF" w:rsidRPr="00C9742E" w:rsidRDefault="005B79EF" w:rsidP="00FC7000">
      <w:pPr>
        <w:pStyle w:val="ABNTtexto"/>
        <w:rPr>
          <w:color w:val="FF0000"/>
        </w:rPr>
      </w:pPr>
      <w:r w:rsidRPr="005B79EF">
        <w:rPr>
          <w:color w:val="FF0000"/>
        </w:rPr>
        <w:t>http://i3geo.saude.gov.br/i3geo/sage_tabelas/avaliacao/IDSUS_2010_Indic_resultados%20e%20notas_Pagina%20V30_01_2013.xls</w:t>
      </w:r>
    </w:p>
    <w:p w:rsidR="00DF2147" w:rsidRDefault="009407B6" w:rsidP="00FC7000">
      <w:pPr>
        <w:pStyle w:val="ABNTtexto"/>
      </w:pPr>
      <w:r>
        <w:tab/>
      </w:r>
      <w:r w:rsidR="005B79EF">
        <w:t xml:space="preserve">Do Censo 2010 </w:t>
      </w:r>
      <w:r w:rsidR="005B79EF" w:rsidRPr="00A83011">
        <w:rPr>
          <w:highlight w:val="yellow"/>
        </w:rPr>
        <w:t>[</w:t>
      </w:r>
      <w:r w:rsidR="00F67390" w:rsidRPr="00A83011">
        <w:rPr>
          <w:highlight w:val="yellow"/>
        </w:rPr>
        <w:t>REF</w:t>
      </w:r>
      <w:r w:rsidR="005B79EF" w:rsidRPr="00A83011">
        <w:rPr>
          <w:highlight w:val="yellow"/>
        </w:rPr>
        <w:t>]</w:t>
      </w:r>
      <w:r w:rsidR="005B79EF">
        <w:t xml:space="preserve"> foram escolhidas as planilhas de Indicadores Sociais Municipais, as quais foram reorganizadas em pastas com </w:t>
      </w:r>
      <w:r w:rsidR="00A83011">
        <w:t xml:space="preserve">os nomes dos referidos estados, cada estado contando com as </w:t>
      </w:r>
      <w:r w:rsidR="005B79EF">
        <w:t>17 planilhas</w:t>
      </w:r>
      <w:r w:rsidR="00A83011">
        <w:t xml:space="preserve"> descritas na introdução. </w:t>
      </w:r>
      <w:r w:rsidR="00DF2147">
        <w:t>A planilha 6</w:t>
      </w:r>
      <w:r>
        <w:t xml:space="preserve">, que retrata a distribuição familiar, </w:t>
      </w:r>
      <w:r w:rsidR="00DF2147">
        <w:t>não foi utilizada</w:t>
      </w:r>
      <w:r>
        <w:t>.</w:t>
      </w:r>
      <w:r w:rsidR="005B79EF">
        <w:t xml:space="preserve"> A pasta se encontra no repositório com o nome ‘</w:t>
      </w:r>
      <w:proofErr w:type="spellStart"/>
      <w:r w:rsidR="005B79EF" w:rsidRPr="005B79EF">
        <w:t>indicadores_sociais_municipais</w:t>
      </w:r>
      <w:proofErr w:type="spellEnd"/>
      <w:r w:rsidR="005B79EF">
        <w:t xml:space="preserve">’ que conta com subpastas nomeadas com os nomes dos estados em minúsculo e com as palavras separadas por ‘_’. </w:t>
      </w:r>
    </w:p>
    <w:p w:rsidR="00B03B49" w:rsidRDefault="003D4FF5" w:rsidP="00B03B49">
      <w:pPr>
        <w:pStyle w:val="ABNTtexto"/>
      </w:pPr>
      <w:r>
        <w:tab/>
        <w:t xml:space="preserve">O script em linguagem </w:t>
      </w:r>
      <w:proofErr w:type="spellStart"/>
      <w:r>
        <w:t>python</w:t>
      </w:r>
      <w:proofErr w:type="spellEnd"/>
      <w:r>
        <w:t xml:space="preserve"> para a extração desses dados pode ser encontrado no repositório como </w:t>
      </w:r>
      <w:r w:rsidR="004455CB">
        <w:t>‘</w:t>
      </w:r>
      <w:r w:rsidR="004455CB" w:rsidRPr="004455CB">
        <w:t>Extração de Dados do Censo 2010</w:t>
      </w:r>
      <w:r w:rsidR="004455CB">
        <w:t xml:space="preserve">. </w:t>
      </w:r>
      <w:proofErr w:type="spellStart"/>
      <w:proofErr w:type="gramStart"/>
      <w:r w:rsidR="004455CB">
        <w:t>ipynb</w:t>
      </w:r>
      <w:proofErr w:type="spellEnd"/>
      <w:proofErr w:type="gramEnd"/>
      <w:r w:rsidR="004455CB">
        <w:t xml:space="preserve">’. </w:t>
      </w:r>
      <w:r>
        <w:t>É importante destacar que o nome das cidades foram manipuladas para ter no nome da cidade concatenado à unidade federativa (p.ex.</w:t>
      </w:r>
      <w:proofErr w:type="gramStart"/>
      <w:r>
        <w:t>:  ‘</w:t>
      </w:r>
      <w:proofErr w:type="gramEnd"/>
      <w:r>
        <w:t xml:space="preserve">Nome Da </w:t>
      </w:r>
      <w:proofErr w:type="spellStart"/>
      <w:r>
        <w:t>Cidade_UF</w:t>
      </w:r>
      <w:proofErr w:type="spellEnd"/>
      <w:r>
        <w:t xml:space="preserve">’) tendo em vista que várias cidades do Brasil têm o mesmo nome em estados diferentes. </w:t>
      </w:r>
      <w:r w:rsidR="009407B6">
        <w:t>Os valores faltantes apresentados como ‘</w:t>
      </w:r>
      <w:proofErr w:type="gramStart"/>
      <w:r w:rsidR="009407B6">
        <w:t>-‘ pelos</w:t>
      </w:r>
      <w:proofErr w:type="gramEnd"/>
      <w:r w:rsidR="009407B6">
        <w:t xml:space="preserve"> dados do Censo foram substituídos por </w:t>
      </w:r>
      <w:proofErr w:type="spellStart"/>
      <w:r w:rsidR="009407B6">
        <w:t>NaN</w:t>
      </w:r>
      <w:proofErr w:type="spellEnd"/>
      <w:r w:rsidR="009407B6">
        <w:t xml:space="preserve"> para melhor processamento.</w:t>
      </w:r>
    </w:p>
    <w:p w:rsidR="00B03B49" w:rsidRPr="00B03B49" w:rsidRDefault="00B03B49" w:rsidP="00B03B49">
      <w:pPr>
        <w:pStyle w:val="ABNTtexto"/>
        <w:numPr>
          <w:ilvl w:val="1"/>
          <w:numId w:val="3"/>
        </w:numPr>
        <w:rPr>
          <w:b/>
        </w:rPr>
      </w:pPr>
      <w:r w:rsidRPr="00B03B49">
        <w:rPr>
          <w:b/>
        </w:rPr>
        <w:t>Algoritmos de classificação</w:t>
      </w:r>
    </w:p>
    <w:p w:rsidR="00CC2D4E" w:rsidRDefault="00F67390" w:rsidP="009961F0">
      <w:pPr>
        <w:pStyle w:val="ABNTtexto"/>
      </w:pPr>
      <w:r w:rsidRPr="00957614">
        <w:tab/>
        <w:t xml:space="preserve">Foram escolhidos dois algoritmos de classificação para a realização deste trabalho sendo eles o Randon Forest e o Extra </w:t>
      </w:r>
      <w:proofErr w:type="spellStart"/>
      <w:r w:rsidRPr="00957614">
        <w:t>Trees</w:t>
      </w:r>
      <w:proofErr w:type="spellEnd"/>
      <w:r w:rsidRPr="00957614">
        <w:t>.</w:t>
      </w:r>
      <w:r w:rsidR="00957614" w:rsidRPr="00957614">
        <w:t xml:space="preserve"> </w:t>
      </w:r>
      <w:r w:rsidR="00D03726">
        <w:t xml:space="preserve">O script em linguagem </w:t>
      </w:r>
      <w:proofErr w:type="spellStart"/>
      <w:r w:rsidR="00D03726">
        <w:t>python</w:t>
      </w:r>
      <w:proofErr w:type="spellEnd"/>
      <w:r w:rsidR="00D03726">
        <w:t xml:space="preserve"> para a manipulação dos dados e predição pode ser encontrado no repositório como</w:t>
      </w:r>
      <w:r w:rsidR="004455CB">
        <w:t xml:space="preserve"> ‘</w:t>
      </w:r>
      <w:r w:rsidR="004455CB" w:rsidRPr="004455CB">
        <w:t xml:space="preserve">Modelo de Predição IDSUS 2010 a partir do Censo </w:t>
      </w:r>
      <w:proofErr w:type="spellStart"/>
      <w:r w:rsidR="004455CB" w:rsidRPr="004455CB">
        <w:t>2010</w:t>
      </w:r>
      <w:r w:rsidR="004455CB">
        <w:t>.ipynb</w:t>
      </w:r>
      <w:proofErr w:type="spellEnd"/>
      <w:r w:rsidR="004455CB">
        <w:t>’</w:t>
      </w:r>
      <w:r w:rsidR="0058084D">
        <w:t>.</w:t>
      </w:r>
    </w:p>
    <w:p w:rsidR="0058084D" w:rsidRDefault="0058084D" w:rsidP="00D03726">
      <w:pPr>
        <w:pStyle w:val="ABNTtexto"/>
        <w:rPr>
          <w:highlight w:val="magenta"/>
        </w:rPr>
      </w:pPr>
      <w:r>
        <w:tab/>
        <w:t>Duas variáveis advindas do IDSUS 2010 são utilizadas como classe (</w:t>
      </w:r>
      <w:proofErr w:type="spellStart"/>
      <w:r>
        <w:t>target</w:t>
      </w:r>
      <w:proofErr w:type="spellEnd"/>
      <w:r>
        <w:t>) neste trabalho, são elas o ‘</w:t>
      </w:r>
      <w:proofErr w:type="spellStart"/>
      <w:r>
        <w:t>idsus_fx</w:t>
      </w:r>
      <w:proofErr w:type="spellEnd"/>
      <w:r>
        <w:t xml:space="preserve">’ que compreende as variáveis categóricas: </w:t>
      </w:r>
      <w:r>
        <w:rPr>
          <w:color w:val="000000"/>
          <w:sz w:val="21"/>
          <w:szCs w:val="21"/>
        </w:rPr>
        <w:t>'2,5 a 3,9', '4 a 4,9', '5 a 5,9', '6 a 6,9', '7 a 7,9', '8 e +'</w:t>
      </w:r>
      <w:r w:rsidR="009961F0">
        <w:rPr>
          <w:color w:val="000000"/>
          <w:sz w:val="21"/>
          <w:szCs w:val="21"/>
        </w:rPr>
        <w:t xml:space="preserve"> </w:t>
      </w:r>
      <w:r>
        <w:t>e</w:t>
      </w:r>
      <w:r w:rsidR="009961F0">
        <w:t xml:space="preserve"> a classe</w:t>
      </w:r>
      <w:r>
        <w:t xml:space="preserve"> ‘Grupo Homogêneo’ com as variáveis categóricas: </w:t>
      </w:r>
      <w:r>
        <w:rPr>
          <w:color w:val="000000"/>
          <w:sz w:val="21"/>
          <w:szCs w:val="21"/>
        </w:rPr>
        <w:t>'GH1', 'GH2', 'GH3', 'GH4', 'GH5', 'GH6'</w:t>
      </w:r>
      <w:r w:rsidR="009961F0">
        <w:rPr>
          <w:color w:val="000000"/>
          <w:sz w:val="21"/>
          <w:szCs w:val="21"/>
        </w:rPr>
        <w:t>. Ambas as classes contam com 6 valores nominais.</w:t>
      </w:r>
    </w:p>
    <w:p w:rsidR="009961F0" w:rsidRPr="004138A6" w:rsidRDefault="0058084D" w:rsidP="00D03726">
      <w:pPr>
        <w:pStyle w:val="ABNTtexto"/>
      </w:pPr>
      <w:r>
        <w:tab/>
        <w:t>Para a variável classificadora ‘</w:t>
      </w:r>
      <w:proofErr w:type="spellStart"/>
      <w:r>
        <w:t>idsus_fx</w:t>
      </w:r>
      <w:proofErr w:type="spellEnd"/>
      <w:r>
        <w:t>’, a classe ‘5 a 5,9’ apresentou maior frequência (47,8%, ou 2663 dos 5560 municípios). Para a variável classificadora ‘Grupo Homogêneo’, a classe ‘GH6’ apresentou maior frequência (39,2%, ou 2182 dos 5560 municípios). Em termos práticos, estas porcentagem atuam como ‘</w:t>
      </w:r>
      <w:proofErr w:type="spellStart"/>
      <w:r>
        <w:t>baselines</w:t>
      </w:r>
      <w:proofErr w:type="spellEnd"/>
      <w:r>
        <w:t xml:space="preserve">’, ou seja, qualquer algoritmo </w:t>
      </w:r>
      <w:proofErr w:type="spellStart"/>
      <w:r>
        <w:t>preditor</w:t>
      </w:r>
      <w:proofErr w:type="spellEnd"/>
      <w:r>
        <w:t xml:space="preserve"> precisa ter acurácia maior que 47,8% para classificação do ‘</w:t>
      </w:r>
      <w:proofErr w:type="spellStart"/>
      <w:r>
        <w:t>idsus_fx</w:t>
      </w:r>
      <w:proofErr w:type="spellEnd"/>
      <w:r>
        <w:t xml:space="preserve">’ e 39,2% para classificação </w:t>
      </w:r>
      <w:r>
        <w:lastRenderedPageBreak/>
        <w:t xml:space="preserve">do ‘Grupo Homogêneo’. Caso contrário, é melhor abandonar o modelo </w:t>
      </w:r>
      <w:proofErr w:type="spellStart"/>
      <w:r>
        <w:t>preditor</w:t>
      </w:r>
      <w:proofErr w:type="spellEnd"/>
      <w:r>
        <w:t xml:space="preserve"> e apostar todos os casos no elemento da classe de maior frequência. </w:t>
      </w:r>
    </w:p>
    <w:p w:rsidR="0058084D" w:rsidRPr="004138A6" w:rsidRDefault="009961F0" w:rsidP="004138A6">
      <w:pPr>
        <w:pStyle w:val="ABNTtexto"/>
      </w:pPr>
      <w:r w:rsidRPr="009961F0">
        <w:rPr>
          <w:color w:val="0070C0"/>
        </w:rPr>
        <w:tab/>
      </w:r>
      <w:r w:rsidRPr="004138A6">
        <w:t xml:space="preserve">Alguns tratamentos foram executados no </w:t>
      </w:r>
      <w:proofErr w:type="spellStart"/>
      <w:r w:rsidRPr="004138A6">
        <w:t>dataset</w:t>
      </w:r>
      <w:proofErr w:type="spellEnd"/>
      <w:r w:rsidRPr="004138A6">
        <w:t xml:space="preserve">: </w:t>
      </w:r>
    </w:p>
    <w:p w:rsidR="009961F0" w:rsidRPr="004138A6" w:rsidRDefault="009961F0" w:rsidP="004138A6">
      <w:pPr>
        <w:pStyle w:val="ABNTtexto"/>
        <w:numPr>
          <w:ilvl w:val="0"/>
          <w:numId w:val="13"/>
        </w:numPr>
        <w:spacing w:line="240" w:lineRule="auto"/>
      </w:pPr>
      <w:r w:rsidRPr="004138A6">
        <w:t>Exceto as duas variáveis classificadoras (‘Grupo Homogêneo’ e ‘</w:t>
      </w:r>
      <w:proofErr w:type="spellStart"/>
      <w:r w:rsidRPr="004138A6">
        <w:t>idsus_fx</w:t>
      </w:r>
      <w:proofErr w:type="spellEnd"/>
      <w:r w:rsidRPr="004138A6">
        <w:t xml:space="preserve">’), os outras 185 variáveis </w:t>
      </w:r>
      <w:proofErr w:type="spellStart"/>
      <w:r w:rsidRPr="004138A6">
        <w:t>preditoras</w:t>
      </w:r>
      <w:proofErr w:type="spellEnd"/>
      <w:r w:rsidRPr="004138A6">
        <w:t xml:space="preserve"> já se encontravam como valores numéricos. Assim sendo, só as primeiras precisaram do </w:t>
      </w:r>
      <w:proofErr w:type="spellStart"/>
      <w:r w:rsidRPr="004138A6">
        <w:t>preprocessamento</w:t>
      </w:r>
      <w:proofErr w:type="spellEnd"/>
      <w:r w:rsidRPr="004138A6">
        <w:t xml:space="preserve"> de </w:t>
      </w:r>
      <w:proofErr w:type="spellStart"/>
      <w:r w:rsidRPr="004138A6">
        <w:t>labelEncoder</w:t>
      </w:r>
      <w:proofErr w:type="spellEnd"/>
      <w:r w:rsidRPr="004138A6">
        <w:t>.</w:t>
      </w:r>
    </w:p>
    <w:p w:rsidR="009961F0" w:rsidRPr="004138A6" w:rsidRDefault="009961F0" w:rsidP="004138A6">
      <w:pPr>
        <w:pStyle w:val="ABNTtexto"/>
        <w:numPr>
          <w:ilvl w:val="0"/>
          <w:numId w:val="13"/>
        </w:numPr>
        <w:spacing w:line="240" w:lineRule="auto"/>
      </w:pPr>
      <w:r w:rsidRPr="004138A6">
        <w:t>Na maioria das simulações, os valores faltantes (</w:t>
      </w:r>
      <w:proofErr w:type="spellStart"/>
      <w:r w:rsidRPr="004138A6">
        <w:t>NaN</w:t>
      </w:r>
      <w:proofErr w:type="spellEnd"/>
      <w:r w:rsidRPr="004138A6">
        <w:t xml:space="preserve">) foram substituídos pela média da variável utilizando </w:t>
      </w:r>
      <w:proofErr w:type="spellStart"/>
      <w:r w:rsidRPr="004138A6">
        <w:t>SimpleImputer</w:t>
      </w:r>
      <w:proofErr w:type="spellEnd"/>
      <w:r w:rsidRPr="004138A6">
        <w:t>;</w:t>
      </w:r>
    </w:p>
    <w:p w:rsidR="009961F0" w:rsidRPr="004138A6" w:rsidRDefault="009961F0" w:rsidP="004138A6">
      <w:pPr>
        <w:pStyle w:val="ABNTtexto"/>
        <w:numPr>
          <w:ilvl w:val="0"/>
          <w:numId w:val="13"/>
        </w:numPr>
        <w:spacing w:line="240" w:lineRule="auto"/>
      </w:pPr>
      <w:r w:rsidRPr="004138A6">
        <w:t xml:space="preserve">Na maioria das simulações, os variáveis </w:t>
      </w:r>
      <w:proofErr w:type="spellStart"/>
      <w:r w:rsidRPr="004138A6">
        <w:t>preditoras</w:t>
      </w:r>
      <w:proofErr w:type="spellEnd"/>
      <w:r w:rsidRPr="004138A6">
        <w:t xml:space="preserve"> sofreram escalonamento pelo </w:t>
      </w:r>
      <w:proofErr w:type="spellStart"/>
      <w:r w:rsidRPr="004138A6">
        <w:t>StandardScaler</w:t>
      </w:r>
      <w:proofErr w:type="spellEnd"/>
      <w:r w:rsidRPr="004138A6">
        <w:t>;</w:t>
      </w:r>
    </w:p>
    <w:p w:rsidR="009961F0" w:rsidRPr="004138A6" w:rsidRDefault="009961F0" w:rsidP="004138A6">
      <w:pPr>
        <w:pStyle w:val="ABNTtexto"/>
        <w:numPr>
          <w:ilvl w:val="0"/>
          <w:numId w:val="13"/>
        </w:numPr>
        <w:spacing w:line="240" w:lineRule="auto"/>
      </w:pPr>
      <w:r w:rsidRPr="004138A6">
        <w:t>Em algumas das simulações, foi realizado escolha das variáveis (‘</w:t>
      </w:r>
      <w:proofErr w:type="spellStart"/>
      <w:r w:rsidRPr="004138A6">
        <w:t>feature</w:t>
      </w:r>
      <w:proofErr w:type="spellEnd"/>
      <w:r w:rsidRPr="004138A6">
        <w:t xml:space="preserve"> </w:t>
      </w:r>
      <w:proofErr w:type="spellStart"/>
      <w:r w:rsidRPr="004138A6">
        <w:t>selection</w:t>
      </w:r>
      <w:proofErr w:type="spellEnd"/>
      <w:r w:rsidRPr="004138A6">
        <w:t xml:space="preserve">’) por meio de </w:t>
      </w:r>
      <w:proofErr w:type="spellStart"/>
      <w:r w:rsidRPr="004138A6">
        <w:t>Selectkbest</w:t>
      </w:r>
      <w:proofErr w:type="spellEnd"/>
      <w:r w:rsidRPr="004138A6">
        <w:t xml:space="preserve"> e </w:t>
      </w:r>
      <w:proofErr w:type="spellStart"/>
      <w:r w:rsidRPr="004138A6">
        <w:t>qui</w:t>
      </w:r>
      <w:proofErr w:type="spellEnd"/>
      <w:r w:rsidRPr="004138A6">
        <w:t xml:space="preserve">-quadrado para os modelos de </w:t>
      </w:r>
      <w:proofErr w:type="spellStart"/>
      <w:r w:rsidRPr="004138A6">
        <w:t>Random</w:t>
      </w:r>
      <w:proofErr w:type="spellEnd"/>
      <w:r w:rsidRPr="004138A6">
        <w:t xml:space="preserve"> Forest ou o próprio método de </w:t>
      </w:r>
      <w:proofErr w:type="spellStart"/>
      <w:r w:rsidRPr="004138A6">
        <w:t>feature</w:t>
      </w:r>
      <w:proofErr w:type="spellEnd"/>
      <w:r w:rsidRPr="004138A6">
        <w:t xml:space="preserve"> </w:t>
      </w:r>
      <w:proofErr w:type="spellStart"/>
      <w:r w:rsidRPr="004138A6">
        <w:t>selection</w:t>
      </w:r>
      <w:proofErr w:type="spellEnd"/>
      <w:r w:rsidRPr="004138A6">
        <w:t xml:space="preserve"> das Extra </w:t>
      </w:r>
      <w:proofErr w:type="spellStart"/>
      <w:r w:rsidRPr="004138A6">
        <w:t>Trees</w:t>
      </w:r>
      <w:proofErr w:type="spellEnd"/>
      <w:r w:rsidRPr="004138A6">
        <w:t xml:space="preserve"> implementado pelo biblioteca </w:t>
      </w:r>
      <w:proofErr w:type="spellStart"/>
      <w:r w:rsidRPr="004138A6">
        <w:t>Scikit</w:t>
      </w:r>
      <w:proofErr w:type="spellEnd"/>
      <w:r w:rsidRPr="004138A6">
        <w:t xml:space="preserve"> </w:t>
      </w:r>
      <w:proofErr w:type="spellStart"/>
      <w:r w:rsidRPr="004138A6">
        <w:t>learn</w:t>
      </w:r>
      <w:proofErr w:type="spellEnd"/>
      <w:r w:rsidRPr="004138A6">
        <w:t>.</w:t>
      </w:r>
    </w:p>
    <w:p w:rsidR="009961F0" w:rsidRPr="009961F0" w:rsidRDefault="009961F0" w:rsidP="004138A6">
      <w:pPr>
        <w:pStyle w:val="ABNTtexto"/>
      </w:pPr>
      <w:r w:rsidRPr="004138A6">
        <w:tab/>
        <w:t xml:space="preserve">A estudo foi dividido em duas etapas sendo a primeira a avaliação individual do desempenho dos modelos preditivos com </w:t>
      </w:r>
      <w:proofErr w:type="spellStart"/>
      <w:r w:rsidRPr="004138A6">
        <w:t>Random</w:t>
      </w:r>
      <w:proofErr w:type="spellEnd"/>
      <w:r w:rsidRPr="004138A6">
        <w:t xml:space="preserve"> Forest e Extra </w:t>
      </w:r>
      <w:proofErr w:type="spellStart"/>
      <w:r w:rsidRPr="004138A6">
        <w:t>Tree</w:t>
      </w:r>
      <w:proofErr w:type="spellEnd"/>
      <w:r w:rsidRPr="004138A6">
        <w:t xml:space="preserve"> variando-se</w:t>
      </w:r>
      <w:r w:rsidRPr="009961F0">
        <w:t xml:space="preserve"> a configuração de cada simulação</w:t>
      </w:r>
      <w:r>
        <w:t xml:space="preserve">. A segunda etapa </w:t>
      </w:r>
      <w:r w:rsidR="004138A6">
        <w:t xml:space="preserve">utiliza validação cruzada a partir dos modelos mais representativos da etapa anterior. </w:t>
      </w:r>
      <w:r>
        <w:t xml:space="preserve">  </w:t>
      </w:r>
      <w:r w:rsidRPr="009961F0">
        <w:t xml:space="preserve">  </w:t>
      </w:r>
    </w:p>
    <w:p w:rsidR="009961F0" w:rsidRPr="009961F0" w:rsidRDefault="009961F0" w:rsidP="009961F0">
      <w:pPr>
        <w:pStyle w:val="ABNTtexto"/>
        <w:ind w:left="720"/>
        <w:rPr>
          <w:color w:val="0070C0"/>
        </w:rPr>
      </w:pPr>
    </w:p>
    <w:p w:rsidR="00B03B49" w:rsidRDefault="00B03B49"/>
    <w:p w:rsidR="00B03B49" w:rsidRPr="004437E3" w:rsidRDefault="004437E3" w:rsidP="004437E3">
      <w:pPr>
        <w:pStyle w:val="PargrafodaLista"/>
        <w:numPr>
          <w:ilvl w:val="0"/>
          <w:numId w:val="3"/>
        </w:numPr>
        <w:rPr>
          <w:b/>
        </w:rPr>
      </w:pPr>
      <w:r w:rsidRPr="004437E3">
        <w:rPr>
          <w:b/>
        </w:rPr>
        <w:t>RESULTADOS</w:t>
      </w:r>
    </w:p>
    <w:p w:rsidR="00942685" w:rsidRDefault="004138A6">
      <w:r>
        <w:t xml:space="preserve">Nas tabelas </w:t>
      </w:r>
      <w:proofErr w:type="spellStart"/>
      <w:r w:rsidRPr="00FE783B">
        <w:rPr>
          <w:highlight w:val="yellow"/>
        </w:rPr>
        <w:t>xxxx</w:t>
      </w:r>
      <w:proofErr w:type="spellEnd"/>
      <w:r w:rsidRPr="00FE783B">
        <w:rPr>
          <w:highlight w:val="yellow"/>
        </w:rPr>
        <w:t xml:space="preserve"> e </w:t>
      </w:r>
      <w:proofErr w:type="spellStart"/>
      <w:r w:rsidRPr="00FE783B">
        <w:rPr>
          <w:highlight w:val="yellow"/>
        </w:rPr>
        <w:t>xxxx</w:t>
      </w:r>
      <w:proofErr w:type="spellEnd"/>
      <w:r>
        <w:t xml:space="preserve"> são apresentados a acurácia dos modelos de avaliação individual do </w:t>
      </w:r>
      <w:proofErr w:type="spellStart"/>
      <w:r>
        <w:t>dataset</w:t>
      </w:r>
      <w:proofErr w:type="spellEnd"/>
      <w:r>
        <w:t xml:space="preserve"> em questão utilizando-se como classe </w:t>
      </w:r>
      <w:proofErr w:type="spellStart"/>
      <w:r>
        <w:t>target</w:t>
      </w:r>
      <w:proofErr w:type="spellEnd"/>
      <w:r>
        <w:t xml:space="preserve"> o ‘</w:t>
      </w:r>
      <w:proofErr w:type="spellStart"/>
      <w:r>
        <w:t>idsus_fx</w:t>
      </w:r>
      <w:proofErr w:type="spellEnd"/>
      <w:r>
        <w:t xml:space="preserve">’ ou o ‘Grupo Homogêneo’, ambas variáveis advindas do IDSUS 2010.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36"/>
        <w:gridCol w:w="1275"/>
        <w:gridCol w:w="1283"/>
      </w:tblGrid>
      <w:tr w:rsidR="004437E3" w:rsidTr="002B2431">
        <w:tc>
          <w:tcPr>
            <w:tcW w:w="8494" w:type="dxa"/>
            <w:gridSpan w:val="3"/>
          </w:tcPr>
          <w:p w:rsidR="004437E3" w:rsidRPr="00A83011" w:rsidRDefault="004437E3">
            <w:pPr>
              <w:rPr>
                <w:sz w:val="20"/>
                <w:szCs w:val="20"/>
              </w:rPr>
            </w:pPr>
            <w:r w:rsidRPr="00A83011">
              <w:rPr>
                <w:sz w:val="20"/>
                <w:szCs w:val="20"/>
              </w:rPr>
              <w:t xml:space="preserve">Algoritmo </w:t>
            </w:r>
            <w:proofErr w:type="spellStart"/>
            <w:r w:rsidRPr="00A83011">
              <w:rPr>
                <w:sz w:val="20"/>
                <w:szCs w:val="20"/>
              </w:rPr>
              <w:t>Random</w:t>
            </w:r>
            <w:proofErr w:type="spellEnd"/>
            <w:r w:rsidRPr="00A83011">
              <w:rPr>
                <w:sz w:val="20"/>
                <w:szCs w:val="20"/>
              </w:rPr>
              <w:t xml:space="preserve"> Forest com simulações utilizando diferentes configurações. Comparação de performance para ‘</w:t>
            </w:r>
            <w:proofErr w:type="spellStart"/>
            <w:r w:rsidRPr="00A83011">
              <w:rPr>
                <w:sz w:val="20"/>
                <w:szCs w:val="20"/>
              </w:rPr>
              <w:t>idsus_fx</w:t>
            </w:r>
            <w:proofErr w:type="spellEnd"/>
            <w:r w:rsidRPr="00A83011">
              <w:rPr>
                <w:sz w:val="20"/>
                <w:szCs w:val="20"/>
              </w:rPr>
              <w:t>’ e ‘Grupo Homogêneo’ (</w:t>
            </w:r>
            <w:proofErr w:type="spellStart"/>
            <w:r w:rsidRPr="00A83011">
              <w:rPr>
                <w:sz w:val="20"/>
                <w:szCs w:val="20"/>
              </w:rPr>
              <w:t>random</w:t>
            </w:r>
            <w:proofErr w:type="spellEnd"/>
            <w:r w:rsidRPr="00A83011">
              <w:rPr>
                <w:sz w:val="20"/>
                <w:szCs w:val="20"/>
              </w:rPr>
              <w:t xml:space="preserve"> </w:t>
            </w:r>
            <w:proofErr w:type="spellStart"/>
            <w:r w:rsidRPr="00A83011">
              <w:rPr>
                <w:sz w:val="20"/>
                <w:szCs w:val="20"/>
              </w:rPr>
              <w:t>state</w:t>
            </w:r>
            <w:proofErr w:type="spellEnd"/>
            <w:r w:rsidRPr="00A83011">
              <w:rPr>
                <w:sz w:val="20"/>
                <w:szCs w:val="20"/>
              </w:rPr>
              <w:t xml:space="preserve"> = 0)</w:t>
            </w:r>
          </w:p>
        </w:tc>
      </w:tr>
      <w:tr w:rsidR="004437E3" w:rsidTr="002B2431">
        <w:tc>
          <w:tcPr>
            <w:tcW w:w="5949" w:type="dxa"/>
          </w:tcPr>
          <w:p w:rsidR="004437E3" w:rsidRPr="00A83011" w:rsidRDefault="004437E3">
            <w:pPr>
              <w:rPr>
                <w:sz w:val="20"/>
                <w:szCs w:val="20"/>
              </w:rPr>
            </w:pPr>
          </w:p>
        </w:tc>
        <w:tc>
          <w:tcPr>
            <w:tcW w:w="2545" w:type="dxa"/>
            <w:gridSpan w:val="2"/>
          </w:tcPr>
          <w:p w:rsidR="004437E3" w:rsidRPr="00A83011" w:rsidRDefault="004437E3" w:rsidP="004437E3">
            <w:pPr>
              <w:jc w:val="center"/>
              <w:rPr>
                <w:b/>
                <w:sz w:val="20"/>
                <w:szCs w:val="20"/>
              </w:rPr>
            </w:pPr>
            <w:r w:rsidRPr="00A83011">
              <w:rPr>
                <w:b/>
                <w:sz w:val="20"/>
                <w:szCs w:val="20"/>
              </w:rPr>
              <w:t>Acurácia</w:t>
            </w:r>
          </w:p>
        </w:tc>
      </w:tr>
      <w:tr w:rsidR="004437E3" w:rsidTr="00A83011">
        <w:tc>
          <w:tcPr>
            <w:tcW w:w="5949" w:type="dxa"/>
            <w:vAlign w:val="center"/>
          </w:tcPr>
          <w:p w:rsidR="004437E3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Configurações de simulação</w:t>
            </w:r>
          </w:p>
        </w:tc>
        <w:tc>
          <w:tcPr>
            <w:tcW w:w="1276" w:type="dxa"/>
            <w:vAlign w:val="center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</w:t>
            </w:r>
            <w:proofErr w:type="spellStart"/>
            <w:proofErr w:type="gramStart"/>
            <w:r w:rsidRPr="00A83011">
              <w:rPr>
                <w:rFonts w:cstheme="minorHAnsi"/>
                <w:b/>
                <w:sz w:val="20"/>
                <w:szCs w:val="20"/>
              </w:rPr>
              <w:t>idsus</w:t>
            </w:r>
            <w:proofErr w:type="gramEnd"/>
            <w:r w:rsidRPr="00A83011">
              <w:rPr>
                <w:rFonts w:cstheme="minorHAnsi"/>
                <w:b/>
                <w:sz w:val="20"/>
                <w:szCs w:val="20"/>
              </w:rPr>
              <w:t>_fx</w:t>
            </w:r>
            <w:proofErr w:type="spellEnd"/>
            <w:r w:rsidRPr="00A83011">
              <w:rPr>
                <w:rFonts w:cstheme="minorHAnsi"/>
                <w:b/>
                <w:sz w:val="20"/>
                <w:szCs w:val="20"/>
              </w:rPr>
              <w:t>’</w:t>
            </w:r>
          </w:p>
        </w:tc>
        <w:tc>
          <w:tcPr>
            <w:tcW w:w="1269" w:type="dxa"/>
            <w:vAlign w:val="center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‘Grupo Homogêneo’</w:t>
            </w:r>
          </w:p>
        </w:tc>
      </w:tr>
      <w:tr w:rsidR="005C258F" w:rsidTr="004437E3">
        <w:tc>
          <w:tcPr>
            <w:tcW w:w="5949" w:type="dxa"/>
          </w:tcPr>
          <w:p w:rsidR="005C258F" w:rsidRPr="00A83011" w:rsidRDefault="005C258F" w:rsidP="00A8301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 xml:space="preserve">Com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SimpleImputer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 xml:space="preserve"> (</w:t>
            </w:r>
            <w:r w:rsidR="001A710D" w:rsidRPr="00A83011"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mean</w:t>
            </w:r>
            <w:proofErr w:type="spellEnd"/>
            <w:r w:rsidR="001A710D" w:rsidRPr="00A83011">
              <w:rPr>
                <w:rFonts w:cstheme="minorHAnsi"/>
                <w:sz w:val="20"/>
                <w:szCs w:val="20"/>
              </w:rPr>
              <w:t>’</w:t>
            </w:r>
            <w:r w:rsidRPr="00A83011">
              <w:rPr>
                <w:rFonts w:cstheme="minorHAnsi"/>
                <w:sz w:val="20"/>
                <w:szCs w:val="20"/>
              </w:rPr>
              <w:t xml:space="preserve">) e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StandardScaler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276" w:type="dxa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437E3" w:rsidTr="004437E3">
        <w:tc>
          <w:tcPr>
            <w:tcW w:w="5949" w:type="dxa"/>
          </w:tcPr>
          <w:p w:rsidR="004437E3" w:rsidRPr="009C5871" w:rsidRDefault="004437E3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15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6" w:type="dxa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0.559</w:t>
            </w:r>
          </w:p>
        </w:tc>
        <w:tc>
          <w:tcPr>
            <w:tcW w:w="1269" w:type="dxa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0.842</w:t>
            </w:r>
          </w:p>
        </w:tc>
      </w:tr>
      <w:tr w:rsidR="004437E3" w:rsidTr="004437E3">
        <w:tc>
          <w:tcPr>
            <w:tcW w:w="5949" w:type="dxa"/>
          </w:tcPr>
          <w:p w:rsidR="004437E3" w:rsidRPr="009C5871" w:rsidRDefault="004437E3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30%)</w:t>
            </w:r>
          </w:p>
        </w:tc>
        <w:tc>
          <w:tcPr>
            <w:tcW w:w="1276" w:type="dxa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0.571</w:t>
            </w:r>
          </w:p>
        </w:tc>
        <w:tc>
          <w:tcPr>
            <w:tcW w:w="1269" w:type="dxa"/>
          </w:tcPr>
          <w:p w:rsidR="004437E3" w:rsidRPr="00A83011" w:rsidRDefault="002B2431" w:rsidP="00A830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A8301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0.859</w:t>
            </w:r>
          </w:p>
        </w:tc>
      </w:tr>
      <w:tr w:rsidR="004437E3" w:rsidTr="004437E3">
        <w:tc>
          <w:tcPr>
            <w:tcW w:w="5949" w:type="dxa"/>
          </w:tcPr>
          <w:p w:rsidR="004437E3" w:rsidRPr="009C5871" w:rsidRDefault="004437E3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6" w:type="dxa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0.574</w:t>
            </w:r>
          </w:p>
        </w:tc>
        <w:tc>
          <w:tcPr>
            <w:tcW w:w="1269" w:type="dxa"/>
          </w:tcPr>
          <w:p w:rsidR="004437E3" w:rsidRPr="00A83011" w:rsidRDefault="004437E3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0.843</w:t>
            </w:r>
          </w:p>
        </w:tc>
      </w:tr>
      <w:tr w:rsidR="005C258F" w:rsidTr="002B2431">
        <w:tc>
          <w:tcPr>
            <w:tcW w:w="5949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 xml:space="preserve">Sem 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StandardScaler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 xml:space="preserve"> 60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6" w:type="dxa"/>
            <w:vAlign w:val="center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269" w:type="dxa"/>
            <w:vAlign w:val="center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0.843</w:t>
            </w:r>
          </w:p>
        </w:tc>
      </w:tr>
      <w:tr w:rsidR="005C258F" w:rsidTr="002B2431">
        <w:tc>
          <w:tcPr>
            <w:tcW w:w="5949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SelectKbest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chi2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, k=20 variáveis)</w:t>
            </w:r>
          </w:p>
        </w:tc>
        <w:tc>
          <w:tcPr>
            <w:tcW w:w="1276" w:type="dxa"/>
            <w:vAlign w:val="center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1269" w:type="dxa"/>
            <w:vAlign w:val="center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0.808</w:t>
            </w:r>
          </w:p>
        </w:tc>
      </w:tr>
      <w:tr w:rsidR="005C258F" w:rsidTr="002B2431">
        <w:tc>
          <w:tcPr>
            <w:tcW w:w="5949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60 árvores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SelectKbest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chi2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, k=60 variáveis)</w:t>
            </w:r>
          </w:p>
        </w:tc>
        <w:tc>
          <w:tcPr>
            <w:tcW w:w="1276" w:type="dxa"/>
            <w:vAlign w:val="center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1269" w:type="dxa"/>
            <w:vAlign w:val="center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0.849</w:t>
            </w:r>
          </w:p>
        </w:tc>
      </w:tr>
      <w:tr w:rsidR="005C258F" w:rsidTr="004437E3">
        <w:tc>
          <w:tcPr>
            <w:tcW w:w="5949" w:type="dxa"/>
          </w:tcPr>
          <w:p w:rsidR="005C258F" w:rsidRPr="00A83011" w:rsidRDefault="005C258F" w:rsidP="00A8301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 xml:space="preserve">Excluindo colunas com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NaN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 xml:space="preserve"> (restou 64 variáveis),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StandardScaler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>, 60 árvores (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6" w:type="dxa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0.569</w:t>
            </w:r>
          </w:p>
        </w:tc>
        <w:tc>
          <w:tcPr>
            <w:tcW w:w="1269" w:type="dxa"/>
          </w:tcPr>
          <w:p w:rsidR="005C258F" w:rsidRPr="00A83011" w:rsidRDefault="005C258F" w:rsidP="00A8301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0.843</w:t>
            </w:r>
          </w:p>
        </w:tc>
      </w:tr>
    </w:tbl>
    <w:p w:rsidR="00942685" w:rsidRDefault="009426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36"/>
        <w:gridCol w:w="1275"/>
        <w:gridCol w:w="1283"/>
      </w:tblGrid>
      <w:tr w:rsidR="005522E4" w:rsidTr="002B2431">
        <w:tc>
          <w:tcPr>
            <w:tcW w:w="8494" w:type="dxa"/>
            <w:gridSpan w:val="3"/>
          </w:tcPr>
          <w:p w:rsidR="005522E4" w:rsidRPr="00A83011" w:rsidRDefault="005522E4" w:rsidP="005522E4">
            <w:pPr>
              <w:rPr>
                <w:sz w:val="20"/>
                <w:szCs w:val="20"/>
              </w:rPr>
            </w:pPr>
            <w:r w:rsidRPr="00A83011">
              <w:rPr>
                <w:sz w:val="20"/>
                <w:szCs w:val="20"/>
              </w:rPr>
              <w:lastRenderedPageBreak/>
              <w:t xml:space="preserve">Algoritmo Extra </w:t>
            </w:r>
            <w:proofErr w:type="spellStart"/>
            <w:r w:rsidRPr="00A83011">
              <w:rPr>
                <w:sz w:val="20"/>
                <w:szCs w:val="20"/>
              </w:rPr>
              <w:t>Trees</w:t>
            </w:r>
            <w:proofErr w:type="spellEnd"/>
            <w:r w:rsidRPr="00A83011">
              <w:rPr>
                <w:sz w:val="20"/>
                <w:szCs w:val="20"/>
              </w:rPr>
              <w:t xml:space="preserve"> com simulações utilizando diferentes configurações. Comparação de performance para ‘</w:t>
            </w:r>
            <w:proofErr w:type="spellStart"/>
            <w:r w:rsidRPr="00A83011">
              <w:rPr>
                <w:sz w:val="20"/>
                <w:szCs w:val="20"/>
              </w:rPr>
              <w:t>idsus_fx</w:t>
            </w:r>
            <w:proofErr w:type="spellEnd"/>
            <w:r w:rsidRPr="00A83011">
              <w:rPr>
                <w:sz w:val="20"/>
                <w:szCs w:val="20"/>
              </w:rPr>
              <w:t>’ e ‘Grupo Homogêneo’ (</w:t>
            </w:r>
            <w:proofErr w:type="spellStart"/>
            <w:r w:rsidRPr="00A83011">
              <w:rPr>
                <w:sz w:val="20"/>
                <w:szCs w:val="20"/>
              </w:rPr>
              <w:t>random</w:t>
            </w:r>
            <w:proofErr w:type="spellEnd"/>
            <w:r w:rsidRPr="00A83011">
              <w:rPr>
                <w:sz w:val="20"/>
                <w:szCs w:val="20"/>
              </w:rPr>
              <w:t xml:space="preserve"> </w:t>
            </w:r>
            <w:proofErr w:type="spellStart"/>
            <w:r w:rsidRPr="00A83011">
              <w:rPr>
                <w:sz w:val="20"/>
                <w:szCs w:val="20"/>
              </w:rPr>
              <w:t>state</w:t>
            </w:r>
            <w:proofErr w:type="spellEnd"/>
            <w:r w:rsidRPr="00A83011">
              <w:rPr>
                <w:sz w:val="20"/>
                <w:szCs w:val="20"/>
              </w:rPr>
              <w:t xml:space="preserve"> = 0)</w:t>
            </w:r>
          </w:p>
        </w:tc>
      </w:tr>
      <w:tr w:rsidR="005522E4" w:rsidTr="003B681F">
        <w:tc>
          <w:tcPr>
            <w:tcW w:w="5936" w:type="dxa"/>
          </w:tcPr>
          <w:p w:rsidR="005522E4" w:rsidRPr="00A83011" w:rsidRDefault="005522E4" w:rsidP="002B2431">
            <w:pPr>
              <w:rPr>
                <w:sz w:val="20"/>
                <w:szCs w:val="20"/>
              </w:rPr>
            </w:pPr>
          </w:p>
        </w:tc>
        <w:tc>
          <w:tcPr>
            <w:tcW w:w="2558" w:type="dxa"/>
            <w:gridSpan w:val="2"/>
          </w:tcPr>
          <w:p w:rsidR="005522E4" w:rsidRPr="00A83011" w:rsidRDefault="005522E4" w:rsidP="002B2431">
            <w:pPr>
              <w:jc w:val="center"/>
              <w:rPr>
                <w:b/>
                <w:sz w:val="20"/>
                <w:szCs w:val="20"/>
              </w:rPr>
            </w:pPr>
            <w:r w:rsidRPr="00A83011">
              <w:rPr>
                <w:b/>
                <w:sz w:val="20"/>
                <w:szCs w:val="20"/>
              </w:rPr>
              <w:t>Acurácia</w:t>
            </w:r>
          </w:p>
        </w:tc>
      </w:tr>
      <w:tr w:rsidR="00A83011" w:rsidTr="003B681F">
        <w:tc>
          <w:tcPr>
            <w:tcW w:w="5936" w:type="dxa"/>
            <w:vAlign w:val="center"/>
          </w:tcPr>
          <w:p w:rsidR="00A83011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Configurações de simulação</w:t>
            </w:r>
          </w:p>
        </w:tc>
        <w:tc>
          <w:tcPr>
            <w:tcW w:w="1275" w:type="dxa"/>
            <w:vAlign w:val="center"/>
          </w:tcPr>
          <w:p w:rsidR="00A83011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</w:t>
            </w:r>
            <w:proofErr w:type="spellStart"/>
            <w:proofErr w:type="gramStart"/>
            <w:r w:rsidRPr="00A83011">
              <w:rPr>
                <w:rFonts w:cstheme="minorHAnsi"/>
                <w:b/>
                <w:sz w:val="20"/>
                <w:szCs w:val="20"/>
              </w:rPr>
              <w:t>idsus</w:t>
            </w:r>
            <w:proofErr w:type="gramEnd"/>
            <w:r w:rsidRPr="00A83011">
              <w:rPr>
                <w:rFonts w:cstheme="minorHAnsi"/>
                <w:b/>
                <w:sz w:val="20"/>
                <w:szCs w:val="20"/>
              </w:rPr>
              <w:t>_fx</w:t>
            </w:r>
            <w:proofErr w:type="spellEnd"/>
            <w:r w:rsidRPr="00A83011">
              <w:rPr>
                <w:rFonts w:cstheme="minorHAnsi"/>
                <w:b/>
                <w:sz w:val="20"/>
                <w:szCs w:val="20"/>
              </w:rPr>
              <w:t>’</w:t>
            </w:r>
          </w:p>
        </w:tc>
        <w:tc>
          <w:tcPr>
            <w:tcW w:w="1283" w:type="dxa"/>
            <w:vAlign w:val="center"/>
          </w:tcPr>
          <w:p w:rsidR="00A83011" w:rsidRPr="00A83011" w:rsidRDefault="00A83011" w:rsidP="00A8301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011">
              <w:rPr>
                <w:rFonts w:cstheme="minorHAnsi"/>
                <w:b/>
                <w:sz w:val="20"/>
                <w:szCs w:val="20"/>
              </w:rPr>
              <w:t>‘Grupo Homogêneo’</w:t>
            </w:r>
          </w:p>
        </w:tc>
      </w:tr>
      <w:tr w:rsidR="005C258F" w:rsidTr="003B681F">
        <w:tc>
          <w:tcPr>
            <w:tcW w:w="5936" w:type="dxa"/>
          </w:tcPr>
          <w:p w:rsidR="005C258F" w:rsidRPr="00A83011" w:rsidRDefault="005C258F" w:rsidP="001A710D">
            <w:pPr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 xml:space="preserve">Com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SimpleImputer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 xml:space="preserve"> (</w:t>
            </w:r>
            <w:r w:rsidR="001A710D" w:rsidRPr="00A83011"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mean</w:t>
            </w:r>
            <w:proofErr w:type="spellEnd"/>
            <w:r w:rsidR="001A710D" w:rsidRPr="00A83011">
              <w:rPr>
                <w:rFonts w:cstheme="minorHAnsi"/>
                <w:sz w:val="20"/>
                <w:szCs w:val="20"/>
              </w:rPr>
              <w:t>’</w:t>
            </w:r>
            <w:r w:rsidRPr="00A83011">
              <w:rPr>
                <w:rFonts w:cstheme="minorHAnsi"/>
                <w:sz w:val="20"/>
                <w:szCs w:val="20"/>
              </w:rPr>
              <w:t xml:space="preserve">) e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StandardScaler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275" w:type="dxa"/>
          </w:tcPr>
          <w:p w:rsidR="005C258F" w:rsidRPr="00A83011" w:rsidRDefault="005C258F" w:rsidP="00A8301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</w:tcPr>
          <w:p w:rsidR="005C258F" w:rsidRPr="00A83011" w:rsidRDefault="005C258F" w:rsidP="00A8301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C258F" w:rsidTr="003B681F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</w:tcPr>
          <w:p w:rsidR="005C258F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0.589</w:t>
            </w:r>
          </w:p>
        </w:tc>
        <w:tc>
          <w:tcPr>
            <w:tcW w:w="1283" w:type="dxa"/>
          </w:tcPr>
          <w:p w:rsidR="005C258F" w:rsidRPr="00A83011" w:rsidRDefault="002B2431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0.849</w:t>
            </w:r>
          </w:p>
        </w:tc>
      </w:tr>
      <w:tr w:rsidR="005C258F" w:rsidTr="003B681F">
        <w:tc>
          <w:tcPr>
            <w:tcW w:w="5936" w:type="dxa"/>
          </w:tcPr>
          <w:p w:rsidR="005C258F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30%)</w:t>
            </w:r>
          </w:p>
        </w:tc>
        <w:tc>
          <w:tcPr>
            <w:tcW w:w="1275" w:type="dxa"/>
          </w:tcPr>
          <w:p w:rsidR="005C258F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0.573</w:t>
            </w:r>
          </w:p>
        </w:tc>
        <w:tc>
          <w:tcPr>
            <w:tcW w:w="1283" w:type="dxa"/>
          </w:tcPr>
          <w:p w:rsidR="005C258F" w:rsidRPr="00A83011" w:rsidRDefault="002B2431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0.855</w:t>
            </w:r>
          </w:p>
        </w:tc>
      </w:tr>
      <w:tr w:rsidR="005522E4" w:rsidTr="003B681F">
        <w:tc>
          <w:tcPr>
            <w:tcW w:w="5936" w:type="dxa"/>
          </w:tcPr>
          <w:p w:rsidR="005522E4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 xml:space="preserve">Sem 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StandardScaler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  <w:vAlign w:val="center"/>
          </w:tcPr>
          <w:p w:rsidR="005522E4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0.564</w:t>
            </w:r>
          </w:p>
        </w:tc>
        <w:tc>
          <w:tcPr>
            <w:tcW w:w="1283" w:type="dxa"/>
            <w:vAlign w:val="center"/>
          </w:tcPr>
          <w:p w:rsidR="005522E4" w:rsidRPr="00A83011" w:rsidRDefault="002B2431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0.845</w:t>
            </w:r>
          </w:p>
        </w:tc>
      </w:tr>
      <w:tr w:rsidR="002B2431" w:rsidTr="003B681F">
        <w:tc>
          <w:tcPr>
            <w:tcW w:w="5936" w:type="dxa"/>
          </w:tcPr>
          <w:p w:rsidR="002B2431" w:rsidRPr="009C5871" w:rsidRDefault="002B2431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0.018</w:t>
            </w:r>
          </w:p>
          <w:p w:rsidR="002B2431" w:rsidRPr="009C5871" w:rsidRDefault="002B2431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(1 variável ‘Grupo Homogêneo’)</w:t>
            </w:r>
          </w:p>
        </w:tc>
        <w:tc>
          <w:tcPr>
            <w:tcW w:w="1275" w:type="dxa"/>
            <w:vAlign w:val="center"/>
          </w:tcPr>
          <w:p w:rsidR="002B2431" w:rsidRPr="00A83011" w:rsidRDefault="00FD124D" w:rsidP="00A83011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3" w:type="dxa"/>
            <w:vAlign w:val="center"/>
          </w:tcPr>
          <w:p w:rsidR="002B2431" w:rsidRPr="00A83011" w:rsidRDefault="002B2431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0.560</w:t>
            </w:r>
          </w:p>
        </w:tc>
      </w:tr>
      <w:tr w:rsidR="002B2431" w:rsidTr="003B681F">
        <w:tc>
          <w:tcPr>
            <w:tcW w:w="5936" w:type="dxa"/>
          </w:tcPr>
          <w:p w:rsidR="002B2431" w:rsidRPr="009C5871" w:rsidRDefault="002B2431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0.015</w:t>
            </w:r>
          </w:p>
          <w:p w:rsidR="002B2431" w:rsidRPr="009C5871" w:rsidRDefault="00FD124D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(3 variáveis ‘Grupo Homogêneo’)</w:t>
            </w:r>
          </w:p>
        </w:tc>
        <w:tc>
          <w:tcPr>
            <w:tcW w:w="1275" w:type="dxa"/>
            <w:vAlign w:val="center"/>
          </w:tcPr>
          <w:p w:rsidR="002B2431" w:rsidRPr="00A83011" w:rsidRDefault="00FD124D" w:rsidP="00A83011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3" w:type="dxa"/>
            <w:vAlign w:val="center"/>
          </w:tcPr>
          <w:p w:rsidR="002B2431" w:rsidRPr="00A83011" w:rsidRDefault="002B2431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0.690</w:t>
            </w:r>
          </w:p>
        </w:tc>
      </w:tr>
      <w:tr w:rsidR="0052351D" w:rsidTr="003B681F">
        <w:tc>
          <w:tcPr>
            <w:tcW w:w="5936" w:type="dxa"/>
          </w:tcPr>
          <w:p w:rsidR="002B2431" w:rsidRPr="009C5871" w:rsidRDefault="0052351D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0.01</w:t>
            </w:r>
            <w:r w:rsidR="00FD124D" w:rsidRPr="009C5871">
              <w:rPr>
                <w:rFonts w:cstheme="minorHAnsi"/>
                <w:sz w:val="20"/>
                <w:szCs w:val="20"/>
              </w:rPr>
              <w:t>4</w:t>
            </w:r>
            <w:r w:rsidR="002B2431" w:rsidRPr="009C5871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2351D" w:rsidRPr="009C5871" w:rsidRDefault="003B681F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(7</w:t>
            </w:r>
            <w:r w:rsidR="002B2431" w:rsidRPr="009C5871">
              <w:rPr>
                <w:rFonts w:cstheme="minorHAnsi"/>
                <w:sz w:val="20"/>
                <w:szCs w:val="20"/>
              </w:rPr>
              <w:t xml:space="preserve"> variáveis ‘Grupo Homogêneo’)</w:t>
            </w:r>
          </w:p>
        </w:tc>
        <w:tc>
          <w:tcPr>
            <w:tcW w:w="1275" w:type="dxa"/>
            <w:vAlign w:val="center"/>
          </w:tcPr>
          <w:p w:rsidR="0052351D" w:rsidRPr="00A83011" w:rsidRDefault="00FD124D" w:rsidP="00A83011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A83011">
              <w:rPr>
                <w:rFonts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83" w:type="dxa"/>
            <w:vAlign w:val="center"/>
          </w:tcPr>
          <w:p w:rsidR="0052351D" w:rsidRPr="00A83011" w:rsidRDefault="003B681F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0.82.</w:t>
            </w:r>
            <w:r w:rsidR="00FD124D" w:rsidRPr="00A83011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5C258F" w:rsidTr="003B681F">
        <w:tc>
          <w:tcPr>
            <w:tcW w:w="5936" w:type="dxa"/>
          </w:tcPr>
          <w:p w:rsidR="0052351D" w:rsidRPr="009C5871" w:rsidRDefault="005C258F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0.006 </w:t>
            </w:r>
          </w:p>
          <w:p w:rsidR="005C258F" w:rsidRPr="009C5871" w:rsidRDefault="005C258F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r w:rsidR="00FD124D" w:rsidRPr="009C5871">
              <w:rPr>
                <w:rFonts w:cstheme="minorHAnsi"/>
                <w:sz w:val="20"/>
                <w:szCs w:val="20"/>
              </w:rPr>
              <w:t>45</w:t>
            </w:r>
            <w:r w:rsidRPr="009C5871">
              <w:rPr>
                <w:rFonts w:cstheme="minorHAnsi"/>
                <w:sz w:val="20"/>
                <w:szCs w:val="20"/>
              </w:rPr>
              <w:t xml:space="preserve"> variáveis ‘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idsus_fx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’), (6</w:t>
            </w:r>
            <w:r w:rsidR="00FD124D" w:rsidRPr="009C5871">
              <w:rPr>
                <w:rFonts w:cstheme="minorHAnsi"/>
                <w:sz w:val="20"/>
                <w:szCs w:val="20"/>
              </w:rPr>
              <w:t>1</w:t>
            </w:r>
            <w:r w:rsidRPr="009C5871">
              <w:rPr>
                <w:rFonts w:cstheme="minorHAnsi"/>
                <w:sz w:val="20"/>
                <w:szCs w:val="20"/>
              </w:rPr>
              <w:t xml:space="preserve"> variáveis ‘Grupo Homogêneo’)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0.573</w:t>
            </w:r>
          </w:p>
        </w:tc>
        <w:tc>
          <w:tcPr>
            <w:tcW w:w="1283" w:type="dxa"/>
            <w:vAlign w:val="center"/>
          </w:tcPr>
          <w:p w:rsidR="005C258F" w:rsidRPr="00A83011" w:rsidRDefault="00FD124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0.849</w:t>
            </w:r>
          </w:p>
        </w:tc>
      </w:tr>
      <w:tr w:rsidR="005C258F" w:rsidTr="003B681F">
        <w:tc>
          <w:tcPr>
            <w:tcW w:w="5936" w:type="dxa"/>
          </w:tcPr>
          <w:p w:rsidR="0052351D" w:rsidRPr="009C5871" w:rsidRDefault="005C258F" w:rsidP="009C5871">
            <w:pPr>
              <w:pStyle w:val="PargrafodaLista"/>
              <w:numPr>
                <w:ilvl w:val="0"/>
                <w:numId w:val="10"/>
              </w:numPr>
              <w:tabs>
                <w:tab w:val="left" w:pos="1171"/>
              </w:tabs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&gt; 0.0055 </w:t>
            </w:r>
          </w:p>
          <w:p w:rsidR="005C258F" w:rsidRPr="009C5871" w:rsidRDefault="00FD124D" w:rsidP="009C5871">
            <w:pPr>
              <w:pStyle w:val="PargrafodaLista"/>
              <w:tabs>
                <w:tab w:val="left" w:pos="1171"/>
              </w:tabs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r w:rsidR="00D06D1D" w:rsidRPr="009C5871">
              <w:rPr>
                <w:rFonts w:cstheme="minorHAnsi"/>
                <w:sz w:val="20"/>
                <w:szCs w:val="20"/>
              </w:rPr>
              <w:t>77</w:t>
            </w:r>
            <w:r w:rsidR="005C258F" w:rsidRPr="009C5871">
              <w:rPr>
                <w:rFonts w:cstheme="minorHAnsi"/>
                <w:sz w:val="20"/>
                <w:szCs w:val="20"/>
              </w:rPr>
              <w:t xml:space="preserve"> variáveis ‘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idsus_fx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>’)</w:t>
            </w:r>
            <w:r w:rsidRPr="009C5871">
              <w:rPr>
                <w:rFonts w:cstheme="minorHAnsi"/>
                <w:sz w:val="20"/>
                <w:szCs w:val="20"/>
              </w:rPr>
              <w:t>, (75 variáveis ‘Grupo Homogêneo’)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0.581</w:t>
            </w:r>
          </w:p>
        </w:tc>
        <w:tc>
          <w:tcPr>
            <w:tcW w:w="1283" w:type="dxa"/>
            <w:vAlign w:val="center"/>
          </w:tcPr>
          <w:p w:rsidR="005C258F" w:rsidRPr="00A83011" w:rsidRDefault="00FD124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0.849</w:t>
            </w:r>
          </w:p>
        </w:tc>
      </w:tr>
      <w:tr w:rsidR="005C258F" w:rsidTr="003B681F">
        <w:tc>
          <w:tcPr>
            <w:tcW w:w="5936" w:type="dxa"/>
          </w:tcPr>
          <w:p w:rsidR="0052351D" w:rsidRPr="009C5871" w:rsidRDefault="0052351D" w:rsidP="009C5871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9C5871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9C587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proofErr w:type="gramEnd"/>
            <w:r w:rsidRPr="009C587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 xml:space="preserve"> 20%), 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Selection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feature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C258F" w:rsidRPr="009C5871">
              <w:rPr>
                <w:rFonts w:cstheme="minorHAnsi"/>
                <w:sz w:val="20"/>
                <w:szCs w:val="20"/>
              </w:rPr>
              <w:t>importance</w:t>
            </w:r>
            <w:proofErr w:type="spellEnd"/>
            <w:r w:rsidR="005C258F" w:rsidRPr="009C5871">
              <w:rPr>
                <w:rFonts w:cstheme="minorHAnsi"/>
                <w:sz w:val="20"/>
                <w:szCs w:val="20"/>
              </w:rPr>
              <w:t xml:space="preserve"> &gt; 0.005 </w:t>
            </w:r>
          </w:p>
          <w:p w:rsidR="005C258F" w:rsidRPr="009C5871" w:rsidRDefault="00FD124D" w:rsidP="009C5871">
            <w:pPr>
              <w:pStyle w:val="PargrafodaLista"/>
              <w:rPr>
                <w:rFonts w:cstheme="minorHAnsi"/>
                <w:sz w:val="20"/>
                <w:szCs w:val="20"/>
              </w:rPr>
            </w:pPr>
            <w:proofErr w:type="gramStart"/>
            <w:r w:rsidRPr="009C5871">
              <w:rPr>
                <w:rFonts w:cstheme="minorHAnsi"/>
                <w:sz w:val="20"/>
                <w:szCs w:val="20"/>
              </w:rPr>
              <w:t>(</w:t>
            </w:r>
            <w:r w:rsidR="005C258F" w:rsidRPr="009C5871">
              <w:rPr>
                <w:rFonts w:cstheme="minorHAnsi"/>
                <w:sz w:val="20"/>
                <w:szCs w:val="20"/>
              </w:rPr>
              <w:t xml:space="preserve"> </w:t>
            </w:r>
            <w:r w:rsidRPr="009C5871">
              <w:rPr>
                <w:rFonts w:cstheme="minorHAnsi"/>
                <w:sz w:val="20"/>
                <w:szCs w:val="20"/>
              </w:rPr>
              <w:t>variáveis</w:t>
            </w:r>
            <w:proofErr w:type="gramEnd"/>
            <w:r w:rsidRPr="009C5871">
              <w:rPr>
                <w:rFonts w:cstheme="minorHAnsi"/>
                <w:sz w:val="20"/>
                <w:szCs w:val="20"/>
              </w:rPr>
              <w:t xml:space="preserve"> ‘</w:t>
            </w:r>
            <w:proofErr w:type="spellStart"/>
            <w:r w:rsidRPr="009C5871">
              <w:rPr>
                <w:rFonts w:cstheme="minorHAnsi"/>
                <w:sz w:val="20"/>
                <w:szCs w:val="20"/>
              </w:rPr>
              <w:t>idsus_fx</w:t>
            </w:r>
            <w:proofErr w:type="spellEnd"/>
            <w:r w:rsidRPr="009C5871">
              <w:rPr>
                <w:rFonts w:cstheme="minorHAnsi"/>
                <w:sz w:val="20"/>
                <w:szCs w:val="20"/>
              </w:rPr>
              <w:t>’), (81</w:t>
            </w:r>
            <w:r w:rsidR="005C258F" w:rsidRPr="009C5871">
              <w:rPr>
                <w:rFonts w:cstheme="minorHAnsi"/>
                <w:sz w:val="20"/>
                <w:szCs w:val="20"/>
              </w:rPr>
              <w:t xml:space="preserve"> variáveis ‘Grupo Homogêneo’)</w:t>
            </w:r>
          </w:p>
        </w:tc>
        <w:tc>
          <w:tcPr>
            <w:tcW w:w="1275" w:type="dxa"/>
            <w:vAlign w:val="center"/>
          </w:tcPr>
          <w:p w:rsidR="005C258F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0.591</w:t>
            </w:r>
          </w:p>
        </w:tc>
        <w:tc>
          <w:tcPr>
            <w:tcW w:w="1283" w:type="dxa"/>
            <w:vAlign w:val="center"/>
          </w:tcPr>
          <w:p w:rsidR="005C258F" w:rsidRPr="00A83011" w:rsidRDefault="00FD124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0.847</w:t>
            </w:r>
          </w:p>
        </w:tc>
      </w:tr>
      <w:tr w:rsidR="005522E4" w:rsidTr="003B681F">
        <w:tc>
          <w:tcPr>
            <w:tcW w:w="5936" w:type="dxa"/>
          </w:tcPr>
          <w:p w:rsidR="005522E4" w:rsidRPr="00A83011" w:rsidRDefault="005522E4" w:rsidP="001A710D">
            <w:pPr>
              <w:rPr>
                <w:rFonts w:cstheme="minorHAnsi"/>
                <w:sz w:val="20"/>
                <w:szCs w:val="20"/>
              </w:rPr>
            </w:pPr>
            <w:r w:rsidRPr="00A83011">
              <w:rPr>
                <w:rFonts w:cstheme="minorHAnsi"/>
                <w:sz w:val="20"/>
                <w:szCs w:val="20"/>
              </w:rPr>
              <w:t>Excl</w:t>
            </w:r>
            <w:r w:rsidR="00D06D1D" w:rsidRPr="00A83011">
              <w:rPr>
                <w:rFonts w:cstheme="minorHAnsi"/>
                <w:sz w:val="20"/>
                <w:szCs w:val="20"/>
              </w:rPr>
              <w:t xml:space="preserve">uindo colunas com </w:t>
            </w:r>
            <w:proofErr w:type="spellStart"/>
            <w:r w:rsidR="00D06D1D" w:rsidRPr="00A83011">
              <w:rPr>
                <w:rFonts w:cstheme="minorHAnsi"/>
                <w:sz w:val="20"/>
                <w:szCs w:val="20"/>
              </w:rPr>
              <w:t>NaN</w:t>
            </w:r>
            <w:proofErr w:type="spellEnd"/>
            <w:r w:rsidR="00D06D1D" w:rsidRPr="00A83011">
              <w:rPr>
                <w:rFonts w:cstheme="minorHAnsi"/>
                <w:sz w:val="20"/>
                <w:szCs w:val="20"/>
              </w:rPr>
              <w:t xml:space="preserve"> (restou 61</w:t>
            </w:r>
            <w:r w:rsidRPr="00A83011">
              <w:rPr>
                <w:rFonts w:cstheme="minorHAnsi"/>
                <w:sz w:val="20"/>
                <w:szCs w:val="20"/>
              </w:rPr>
              <w:t xml:space="preserve"> variáveis), 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StandardScaler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train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A83011">
              <w:rPr>
                <w:rFonts w:cstheme="minorHAnsi"/>
                <w:sz w:val="20"/>
                <w:szCs w:val="20"/>
              </w:rPr>
              <w:t>test</w:t>
            </w:r>
            <w:proofErr w:type="spellEnd"/>
            <w:r w:rsidRPr="00A83011">
              <w:rPr>
                <w:rFonts w:cstheme="minorHAnsi"/>
                <w:sz w:val="20"/>
                <w:szCs w:val="20"/>
              </w:rPr>
              <w:t xml:space="preserve"> 20%)</w:t>
            </w:r>
          </w:p>
        </w:tc>
        <w:tc>
          <w:tcPr>
            <w:tcW w:w="1275" w:type="dxa"/>
          </w:tcPr>
          <w:p w:rsidR="005522E4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0.571</w:t>
            </w:r>
          </w:p>
        </w:tc>
        <w:tc>
          <w:tcPr>
            <w:tcW w:w="1283" w:type="dxa"/>
          </w:tcPr>
          <w:p w:rsidR="005522E4" w:rsidRPr="00A83011" w:rsidRDefault="00D06D1D" w:rsidP="00A83011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A83011">
              <w:rPr>
                <w:rFonts w:asciiTheme="minorHAnsi" w:hAnsiTheme="minorHAnsi" w:cstheme="minorHAnsi"/>
                <w:color w:val="000000"/>
              </w:rPr>
              <w:t>0.853</w:t>
            </w:r>
          </w:p>
        </w:tc>
      </w:tr>
    </w:tbl>
    <w:p w:rsidR="00FE783B" w:rsidRDefault="00FE783B" w:rsidP="00AD46DD">
      <w:pPr>
        <w:pStyle w:val="ABNTtexto"/>
      </w:pPr>
    </w:p>
    <w:p w:rsidR="00942685" w:rsidRDefault="00AD46DD" w:rsidP="00AD46DD">
      <w:pPr>
        <w:pStyle w:val="ABNTtexto"/>
      </w:pPr>
      <w:r>
        <w:tab/>
      </w:r>
      <w:r w:rsidR="00942685">
        <w:t>Os resultados preditivos do ‘</w:t>
      </w:r>
      <w:proofErr w:type="spellStart"/>
      <w:r w:rsidR="00942685">
        <w:t>idsus_fx</w:t>
      </w:r>
      <w:proofErr w:type="spellEnd"/>
      <w:r w:rsidR="00942685">
        <w:t xml:space="preserve">’ foram bastante inferiores ao ‘Grupo Homogêneo’ para o mesmo </w:t>
      </w:r>
      <w:proofErr w:type="spellStart"/>
      <w:r w:rsidR="00942685">
        <w:t>dataset</w:t>
      </w:r>
      <w:proofErr w:type="spellEnd"/>
      <w:r w:rsidR="00942685">
        <w:t>. Por tais razões e, considerando que todo o IDSUS se constrói a partir dos seis grupos homogêneos, serão descritos aqui apenas os resultados do ‘Grupo Homogêneo’.</w:t>
      </w:r>
      <w:r>
        <w:t xml:space="preserve"> </w:t>
      </w:r>
    </w:p>
    <w:p w:rsidR="00136E77" w:rsidRDefault="00AD46DD" w:rsidP="00AD46DD">
      <w:pPr>
        <w:pStyle w:val="ABNTtexto"/>
      </w:pPr>
      <w:r>
        <w:tab/>
        <w:t>De forma generalista</w:t>
      </w:r>
      <w:r w:rsidR="00942685">
        <w:t>, é possível dizer que a acurácia da predição dos dados do IDSUS utilizando o Censo 2010 atingiu uma média de 84% para simulações isoladas</w:t>
      </w:r>
      <w:r>
        <w:t xml:space="preserve">, seja por </w:t>
      </w:r>
      <w:proofErr w:type="spellStart"/>
      <w:r>
        <w:t>Random</w:t>
      </w:r>
      <w:proofErr w:type="spellEnd"/>
      <w:r>
        <w:t xml:space="preserve"> Forest ou Extra </w:t>
      </w:r>
      <w:proofErr w:type="spellStart"/>
      <w:r>
        <w:t>Trees</w:t>
      </w:r>
      <w:proofErr w:type="spellEnd"/>
      <w:r w:rsidR="00136E77">
        <w:t>, com ou sem escalonamento de dados e substituição de dados faltantes pela média</w:t>
      </w:r>
      <w:r w:rsidR="00942685">
        <w:t xml:space="preserve">. </w:t>
      </w:r>
    </w:p>
    <w:p w:rsidR="00942685" w:rsidRPr="003B681F" w:rsidRDefault="00136E77" w:rsidP="003B681F">
      <w:pPr>
        <w:pStyle w:val="ABNTtexto"/>
      </w:pPr>
      <w:r>
        <w:tab/>
      </w:r>
      <w:r w:rsidR="00AD46DD">
        <w:t xml:space="preserve">Houve uma pequena melhora quando a divisão entre treinamento e teste foi mudada de 0.2 para 0.3, o que não serve como argumento para a escolha de um modelo uma vez que ainda serão apresentados os dados de validação cruzada. A exclusão de todas as colunas que apresentavam algum valor vazio, reduzindo o </w:t>
      </w:r>
      <w:proofErr w:type="spellStart"/>
      <w:r w:rsidR="00AD46DD">
        <w:t>dataset</w:t>
      </w:r>
      <w:proofErr w:type="spellEnd"/>
      <w:r w:rsidR="00AD46DD">
        <w:t xml:space="preserve"> de </w:t>
      </w:r>
      <w:proofErr w:type="spellStart"/>
      <w:r w:rsidR="00AD46DD">
        <w:t>preditores</w:t>
      </w:r>
      <w:proofErr w:type="spellEnd"/>
      <w:r w:rsidR="00AD46DD">
        <w:t xml:space="preserve"> de 185 para 61 colunas, não teve impacto significativo, seja para melhor ou para pior desempenho, muito embora tal prática </w:t>
      </w:r>
      <w:r w:rsidR="00AD46DD" w:rsidRPr="003B681F">
        <w:t xml:space="preserve">não seja recomendada. </w:t>
      </w:r>
    </w:p>
    <w:p w:rsidR="00A20FEE" w:rsidRPr="00620AD9" w:rsidRDefault="00136E77" w:rsidP="00620AD9">
      <w:pPr>
        <w:pStyle w:val="ABNTtexto"/>
      </w:pPr>
      <w:r w:rsidRPr="003B681F">
        <w:tab/>
      </w:r>
      <w:r w:rsidR="00471995" w:rsidRPr="003B681F">
        <w:t>Por outro lado, o</w:t>
      </w:r>
      <w:r w:rsidRPr="003B681F">
        <w:t xml:space="preserve"> processo de seleção de variáveis apontou diferenças de desempenho</w:t>
      </w:r>
      <w:r w:rsidR="00471995" w:rsidRPr="003B681F">
        <w:t xml:space="preserve">. </w:t>
      </w:r>
      <w:r w:rsidR="00A20FEE" w:rsidRPr="003B681F">
        <w:t xml:space="preserve">Nas simulações utilizando o algoritmo </w:t>
      </w:r>
      <w:proofErr w:type="spellStart"/>
      <w:r w:rsidR="00A20FEE" w:rsidRPr="003B681F">
        <w:t>Random</w:t>
      </w:r>
      <w:proofErr w:type="spellEnd"/>
      <w:r w:rsidR="00A20FEE" w:rsidRPr="003B681F">
        <w:t xml:space="preserve"> Forest, a</w:t>
      </w:r>
      <w:r w:rsidR="00471995" w:rsidRPr="003B681F">
        <w:t xml:space="preserve"> utilização do </w:t>
      </w:r>
      <w:proofErr w:type="spellStart"/>
      <w:r w:rsidR="00471995" w:rsidRPr="003B681F">
        <w:t>selectKbest</w:t>
      </w:r>
      <w:proofErr w:type="spellEnd"/>
      <w:r w:rsidR="00471995" w:rsidRPr="003B681F">
        <w:t xml:space="preserve"> utilizando o </w:t>
      </w:r>
      <w:proofErr w:type="spellStart"/>
      <w:r w:rsidR="00471995" w:rsidRPr="003B681F">
        <w:t>qui</w:t>
      </w:r>
      <w:proofErr w:type="spellEnd"/>
      <w:r w:rsidR="00471995" w:rsidRPr="003B681F">
        <w:t>-quadrado para</w:t>
      </w:r>
      <w:r w:rsidR="00A20FEE" w:rsidRPr="003B681F">
        <w:t xml:space="preserve"> escolher</w:t>
      </w:r>
      <w:r w:rsidR="00471995" w:rsidRPr="003B681F">
        <w:t xml:space="preserve"> as 20 e 60 mais representativas variáveis resultou em acurácia de 80.9% e 84.9%</w:t>
      </w:r>
      <w:r w:rsidR="00A20FEE" w:rsidRPr="003B681F">
        <w:t>, respectivamente</w:t>
      </w:r>
      <w:r w:rsidR="00471995" w:rsidRPr="003B681F">
        <w:t xml:space="preserve">. </w:t>
      </w:r>
      <w:r w:rsidR="00A20FEE" w:rsidRPr="003B681F">
        <w:t xml:space="preserve">No Extra </w:t>
      </w:r>
      <w:proofErr w:type="spellStart"/>
      <w:r w:rsidR="00A20FEE" w:rsidRPr="003B681F">
        <w:t>Trees</w:t>
      </w:r>
      <w:proofErr w:type="spellEnd"/>
      <w:r w:rsidR="00A20FEE" w:rsidRPr="003B681F">
        <w:t xml:space="preserve">, utilizando o método de </w:t>
      </w:r>
      <w:proofErr w:type="spellStart"/>
      <w:r w:rsidR="00A20FEE" w:rsidRPr="003B681F">
        <w:t>Selection</w:t>
      </w:r>
      <w:proofErr w:type="spellEnd"/>
      <w:r w:rsidR="003B681F" w:rsidRPr="003B681F">
        <w:t xml:space="preserve"> </w:t>
      </w:r>
      <w:proofErr w:type="spellStart"/>
      <w:r w:rsidR="003B681F" w:rsidRPr="003B681F">
        <w:t>Feature</w:t>
      </w:r>
      <w:proofErr w:type="spellEnd"/>
      <w:r w:rsidR="003B681F" w:rsidRPr="003B681F">
        <w:t xml:space="preserve"> </w:t>
      </w:r>
      <w:proofErr w:type="spellStart"/>
      <w:r w:rsidR="003B681F" w:rsidRPr="003B681F">
        <w:lastRenderedPageBreak/>
        <w:t>Importance</w:t>
      </w:r>
      <w:proofErr w:type="spellEnd"/>
      <w:r w:rsidR="003B681F" w:rsidRPr="003B681F">
        <w:t xml:space="preserve"> </w:t>
      </w:r>
      <w:r w:rsidR="00A20FEE" w:rsidRPr="003B681F">
        <w:t xml:space="preserve">é possível ranquear as variáveis a partir da sua representatividade na predição do modelo e, a partir deste ranking, escolher quais devem ser utilizadas. Pelo filtro de variáveis com </w:t>
      </w:r>
      <w:r w:rsidR="00A20FEE" w:rsidRPr="00620AD9">
        <w:t>score mais alto que:</w:t>
      </w:r>
    </w:p>
    <w:p w:rsidR="00A20FEE" w:rsidRPr="00620AD9" w:rsidRDefault="00A20FEE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0.018, restando 1 variável </w:t>
      </w:r>
      <w:proofErr w:type="spellStart"/>
      <w:r w:rsidRPr="00620AD9">
        <w:t>preditora</w:t>
      </w:r>
      <w:proofErr w:type="spellEnd"/>
      <w:r w:rsidRPr="00620AD9">
        <w:t xml:space="preserve">, </w:t>
      </w:r>
      <w:r w:rsidR="00635221" w:rsidRPr="00620AD9">
        <w:t>resultou em</w:t>
      </w:r>
      <w:r w:rsidRPr="00620AD9">
        <w:t xml:space="preserve"> acurácia de 56%;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0.015, restando 3 variáveis </w:t>
      </w:r>
      <w:proofErr w:type="spellStart"/>
      <w:r w:rsidRPr="00620AD9">
        <w:t>preditoras</w:t>
      </w:r>
      <w:proofErr w:type="spellEnd"/>
      <w:r w:rsidRPr="00620AD9">
        <w:t>, resultou em acurácia de 69%;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0.014, </w:t>
      </w:r>
      <w:r w:rsidR="006C0A0D" w:rsidRPr="00620AD9">
        <w:t>restando 7</w:t>
      </w:r>
      <w:r w:rsidRPr="00620AD9">
        <w:t xml:space="preserve"> variáveis </w:t>
      </w:r>
      <w:proofErr w:type="spellStart"/>
      <w:r w:rsidRPr="00620AD9">
        <w:t>preditoras</w:t>
      </w:r>
      <w:proofErr w:type="spellEnd"/>
      <w:r w:rsidRPr="00620AD9">
        <w:t xml:space="preserve">, resultou em acurácia de </w:t>
      </w:r>
      <w:r w:rsidR="006C0A0D" w:rsidRPr="00620AD9">
        <w:t>82</w:t>
      </w:r>
      <w:r w:rsidRPr="00620AD9">
        <w:t>.4%;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0.006, restando 61 variáveis </w:t>
      </w:r>
      <w:proofErr w:type="spellStart"/>
      <w:r w:rsidRPr="00620AD9">
        <w:t>preditoras</w:t>
      </w:r>
      <w:proofErr w:type="spellEnd"/>
      <w:r w:rsidRPr="00620AD9">
        <w:t>, resultou em acurácia de 81.4%;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0.0055, restando 75 variáveis </w:t>
      </w:r>
      <w:proofErr w:type="spellStart"/>
      <w:r w:rsidRPr="00620AD9">
        <w:t>preditoras</w:t>
      </w:r>
      <w:proofErr w:type="spellEnd"/>
      <w:r w:rsidRPr="00620AD9">
        <w:t>, resultou em acurácia de 84.9%;</w:t>
      </w:r>
    </w:p>
    <w:p w:rsidR="00635221" w:rsidRPr="00620AD9" w:rsidRDefault="00635221" w:rsidP="00620AD9">
      <w:pPr>
        <w:pStyle w:val="ABNTtexto"/>
        <w:numPr>
          <w:ilvl w:val="0"/>
          <w:numId w:val="8"/>
        </w:numPr>
        <w:spacing w:line="240" w:lineRule="auto"/>
      </w:pPr>
      <w:r w:rsidRPr="00620AD9">
        <w:t xml:space="preserve">0.005, restando 81 variáveis </w:t>
      </w:r>
      <w:proofErr w:type="spellStart"/>
      <w:r w:rsidRPr="00620AD9">
        <w:t>preditoras</w:t>
      </w:r>
      <w:proofErr w:type="spellEnd"/>
      <w:r w:rsidRPr="00620AD9">
        <w:t>, resultou em acurácia de 84.7%;</w:t>
      </w:r>
    </w:p>
    <w:p w:rsidR="00620AD9" w:rsidRPr="00620AD9" w:rsidRDefault="003B681F" w:rsidP="00620AD9">
      <w:pPr>
        <w:pStyle w:val="ABNTtexto"/>
      </w:pPr>
      <w:r w:rsidRPr="003B681F">
        <w:tab/>
      </w:r>
      <w:r w:rsidRPr="00620AD9">
        <w:t xml:space="preserve">A variável </w:t>
      </w:r>
      <w:proofErr w:type="spellStart"/>
      <w:r w:rsidRPr="00620AD9">
        <w:t>preditora</w:t>
      </w:r>
      <w:proofErr w:type="spellEnd"/>
      <w:r w:rsidRPr="00620AD9">
        <w:t xml:space="preserve"> única, que resultou em acurácia do modelo de 56%</w:t>
      </w:r>
      <w:r w:rsidR="00620AD9" w:rsidRPr="00620AD9">
        <w:t xml:space="preserve">, se refere à coluna 145, </w:t>
      </w:r>
      <w:r w:rsidRPr="00620AD9">
        <w:t>‘</w:t>
      </w:r>
      <w:proofErr w:type="spellStart"/>
      <w:r w:rsidRPr="00620AD9">
        <w:t>Popu_permanente_GERAL_renda_até60%daMedianaBrasil</w:t>
      </w:r>
      <w:proofErr w:type="spellEnd"/>
      <w:r w:rsidRPr="00620AD9">
        <w:t>(</w:t>
      </w:r>
      <w:proofErr w:type="spellStart"/>
      <w:r w:rsidRPr="00620AD9">
        <w:t>R$255.00</w:t>
      </w:r>
      <w:proofErr w:type="spellEnd"/>
      <w:r w:rsidRPr="00620AD9">
        <w:t>)’</w:t>
      </w:r>
      <w:r w:rsidR="00620AD9" w:rsidRPr="00620AD9">
        <w:t xml:space="preserve"> </w:t>
      </w:r>
      <w:r w:rsidRPr="00620AD9">
        <w:t xml:space="preserve">que compreende </w:t>
      </w:r>
      <w:r w:rsidR="00620AD9" w:rsidRPr="00620AD9">
        <w:t>a proporção (%) de pessoas residentes em domicílios particulares permanentes de rendimento mensal total domiciliar per capita representando até 60% da mediana total do Brasil em 2010 (R$</w:t>
      </w:r>
      <w:r w:rsidR="006F6E26">
        <w:t xml:space="preserve"> 225,00</w:t>
      </w:r>
      <w:r w:rsidR="00620AD9" w:rsidRPr="00620AD9">
        <w:t xml:space="preserve">), disponível na tabela 12 dos indicadores do Censo 2010. </w:t>
      </w:r>
    </w:p>
    <w:p w:rsidR="00620AD9" w:rsidRDefault="00620AD9" w:rsidP="00620AD9">
      <w:pPr>
        <w:pStyle w:val="ABNTtexto"/>
      </w:pPr>
      <w:r w:rsidRPr="00620AD9">
        <w:tab/>
        <w:t xml:space="preserve">As 7 variáveis resultantes quando o filtro da </w:t>
      </w:r>
      <w:proofErr w:type="spellStart"/>
      <w:r w:rsidRPr="00620AD9">
        <w:t>Selection</w:t>
      </w:r>
      <w:proofErr w:type="spellEnd"/>
      <w:r w:rsidRPr="00620AD9">
        <w:t xml:space="preserve"> </w:t>
      </w:r>
      <w:proofErr w:type="spellStart"/>
      <w:r w:rsidRPr="00620AD9">
        <w:t>Feature</w:t>
      </w:r>
      <w:proofErr w:type="spellEnd"/>
      <w:r w:rsidRPr="00620AD9">
        <w:t xml:space="preserve"> </w:t>
      </w:r>
      <w:proofErr w:type="spellStart"/>
      <w:r w:rsidRPr="00620AD9">
        <w:t>Importance</w:t>
      </w:r>
      <w:proofErr w:type="spellEnd"/>
      <w:r w:rsidRPr="00620AD9">
        <w:t xml:space="preserve"> foi configurado para 0.014 (acurácia de 82.4%) se referem às colunas </w:t>
      </w:r>
      <w:r w:rsidR="003B681F" w:rsidRPr="00620AD9">
        <w:t>89, 113, 144, 145, 148</w:t>
      </w:r>
      <w:r w:rsidRPr="00620AD9">
        <w:t>, 149 e</w:t>
      </w:r>
      <w:r w:rsidR="003B681F" w:rsidRPr="00620AD9">
        <w:t xml:space="preserve"> 150</w:t>
      </w:r>
      <w:r w:rsidRPr="00620AD9">
        <w:t xml:space="preserve">. </w:t>
      </w:r>
      <w:r w:rsidR="00111FFA">
        <w:t xml:space="preserve">Embora não caiba explicar cada uma das variáveis, é perceptível que seis das sete </w:t>
      </w:r>
      <w:proofErr w:type="spellStart"/>
      <w:r w:rsidR="00111FFA">
        <w:t>features</w:t>
      </w:r>
      <w:proofErr w:type="spellEnd"/>
      <w:r w:rsidR="00111FFA">
        <w:t xml:space="preserve"> referem-se à renda per capita. </w:t>
      </w:r>
      <w:r>
        <w:t>Tais colunas, respectivamente, são:</w:t>
      </w:r>
    </w:p>
    <w:p w:rsidR="00620AD9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Unid_doméstica_HOMEM_total</w:t>
      </w:r>
      <w:proofErr w:type="spellEnd"/>
      <w:r w:rsidRPr="00620AD9">
        <w:t>”,</w:t>
      </w:r>
    </w:p>
    <w:p w:rsidR="00620AD9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Renda_mensal_percapta_GERAL_valor_médio</w:t>
      </w:r>
      <w:proofErr w:type="spellEnd"/>
      <w:r w:rsidRPr="00620AD9">
        <w:t>”,</w:t>
      </w:r>
    </w:p>
    <w:p w:rsidR="003B681F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Popu_permanente_GERAL_renda_atéR$255.00</w:t>
      </w:r>
      <w:proofErr w:type="spellEnd"/>
      <w:r w:rsidRPr="00620AD9">
        <w:t xml:space="preserve">(1/2)”, </w:t>
      </w:r>
    </w:p>
    <w:p w:rsidR="006C0A0D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3B681F" w:rsidRPr="00620AD9">
        <w:t>Popu_permanente_GERAL_renda_atéR$255.00</w:t>
      </w:r>
      <w:proofErr w:type="spellEnd"/>
      <w:r w:rsidR="003B681F" w:rsidRPr="00620AD9">
        <w:t>(1/2)</w:t>
      </w:r>
      <w:r w:rsidRPr="00620AD9">
        <w:t>”,</w:t>
      </w:r>
    </w:p>
    <w:p w:rsidR="006C0A0D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Pr="00620AD9">
        <w:t>P</w:t>
      </w:r>
      <w:r w:rsidR="006C0A0D" w:rsidRPr="00620AD9">
        <w:t>opu_permanente_GERAL_renda_até60%daMedianaBrasil</w:t>
      </w:r>
      <w:proofErr w:type="spellEnd"/>
      <w:r w:rsidR="006C0A0D" w:rsidRPr="00620AD9">
        <w:t>(</w:t>
      </w:r>
      <w:proofErr w:type="spellStart"/>
      <w:r w:rsidR="006C0A0D" w:rsidRPr="00620AD9">
        <w:t>R$255.00</w:t>
      </w:r>
      <w:proofErr w:type="spellEnd"/>
      <w:r w:rsidR="006C0A0D" w:rsidRPr="00620AD9">
        <w:t>)</w:t>
      </w:r>
      <w:r w:rsidRPr="00620AD9">
        <w:t>”,</w:t>
      </w:r>
    </w:p>
    <w:p w:rsidR="006C0A0D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6C0A0D" w:rsidRPr="00620AD9">
        <w:t>Popu_permanente_URBANA_renda_atéR$127.50</w:t>
      </w:r>
      <w:proofErr w:type="spellEnd"/>
      <w:r w:rsidR="006C0A0D" w:rsidRPr="00620AD9">
        <w:t>(1/4)</w:t>
      </w:r>
      <w:r w:rsidRPr="00620AD9">
        <w:t>”,</w:t>
      </w:r>
    </w:p>
    <w:p w:rsidR="003B681F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3B681F" w:rsidRPr="00620AD9">
        <w:t>Popu_permanente_URBANA_renda_atéR$255</w:t>
      </w:r>
      <w:proofErr w:type="spellEnd"/>
      <w:r w:rsidR="003B681F" w:rsidRPr="00620AD9">
        <w:t>(1/2)</w:t>
      </w:r>
      <w:r w:rsidRPr="00620AD9">
        <w:t>”,</w:t>
      </w:r>
    </w:p>
    <w:p w:rsidR="003B681F" w:rsidRPr="00620AD9" w:rsidRDefault="00620AD9" w:rsidP="00620AD9">
      <w:pPr>
        <w:pStyle w:val="ABNTtexto"/>
        <w:numPr>
          <w:ilvl w:val="0"/>
          <w:numId w:val="9"/>
        </w:numPr>
        <w:spacing w:line="240" w:lineRule="auto"/>
      </w:pPr>
      <w:r w:rsidRPr="00620AD9">
        <w:t>“</w:t>
      </w:r>
      <w:proofErr w:type="spellStart"/>
      <w:r w:rsidR="003B681F" w:rsidRPr="00620AD9">
        <w:t>Popu_permanente_URBANA_renda_até60%daMedianaBrasil</w:t>
      </w:r>
      <w:proofErr w:type="spellEnd"/>
      <w:r w:rsidR="003B681F" w:rsidRPr="00620AD9">
        <w:t>(</w:t>
      </w:r>
      <w:proofErr w:type="spellStart"/>
      <w:r w:rsidR="003B681F" w:rsidRPr="00620AD9">
        <w:t>R$249</w:t>
      </w:r>
      <w:proofErr w:type="spellEnd"/>
      <w:r w:rsidR="003B681F" w:rsidRPr="00620AD9">
        <w:t>)</w:t>
      </w:r>
      <w:r w:rsidRPr="00620AD9">
        <w:t xml:space="preserve">”. </w:t>
      </w:r>
    </w:p>
    <w:p w:rsidR="003B681F" w:rsidRDefault="003B681F" w:rsidP="003B681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380C" w:rsidRPr="003D03BB" w:rsidRDefault="003D03BB" w:rsidP="003D03BB">
      <w:pPr>
        <w:pStyle w:val="ABNTtexto"/>
      </w:pPr>
      <w:r>
        <w:t xml:space="preserve">Na tabela </w:t>
      </w:r>
      <w:proofErr w:type="spellStart"/>
      <w:r w:rsidRPr="003D03BB">
        <w:rPr>
          <w:highlight w:val="yellow"/>
        </w:rPr>
        <w:t>xxxxxxx</w:t>
      </w:r>
      <w:proofErr w:type="spellEnd"/>
      <w:r w:rsidR="009C5871">
        <w:t xml:space="preserve"> são</w:t>
      </w:r>
      <w:r>
        <w:t xml:space="preserve"> apresenta</w:t>
      </w:r>
      <w:r w:rsidR="009C5871">
        <w:t>dos</w:t>
      </w:r>
      <w:r>
        <w:t xml:space="preserve"> os resultados da simulação utilizando o algoritmo de Extra </w:t>
      </w:r>
      <w:proofErr w:type="spellStart"/>
      <w:r>
        <w:t>Trees</w:t>
      </w:r>
      <w:proofErr w:type="spellEnd"/>
      <w:r>
        <w:t xml:space="preserve"> com validação cruzada (10 ‘</w:t>
      </w:r>
      <w:proofErr w:type="spellStart"/>
      <w:r>
        <w:t>folds</w:t>
      </w:r>
      <w:proofErr w:type="spellEnd"/>
      <w:r>
        <w:t xml:space="preserve">’) para todas as 185 variáveis e também para apenas as 7 variáveis mais representativas listadas anteriormente.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D03BB" w:rsidTr="003D03BB">
        <w:tc>
          <w:tcPr>
            <w:tcW w:w="8494" w:type="dxa"/>
            <w:gridSpan w:val="10"/>
          </w:tcPr>
          <w:p w:rsidR="003D03BB" w:rsidRDefault="003D03BB">
            <w:r w:rsidRPr="003D03BB">
              <w:rPr>
                <w:highlight w:val="yellow"/>
              </w:rPr>
              <w:t xml:space="preserve">Tabela </w:t>
            </w:r>
            <w:proofErr w:type="spellStart"/>
            <w:r w:rsidRPr="003D03BB">
              <w:rPr>
                <w:highlight w:val="yellow"/>
              </w:rPr>
              <w:t>xxxx</w:t>
            </w:r>
            <w:proofErr w:type="spellEnd"/>
            <w:r w:rsidRPr="003D03BB">
              <w:rPr>
                <w:highlight w:val="yellow"/>
              </w:rPr>
              <w:t>.</w:t>
            </w:r>
            <w:r>
              <w:t xml:space="preserve"> </w:t>
            </w:r>
          </w:p>
        </w:tc>
      </w:tr>
      <w:tr w:rsidR="0051380C" w:rsidTr="003D03BB">
        <w:tc>
          <w:tcPr>
            <w:tcW w:w="8494" w:type="dxa"/>
            <w:gridSpan w:val="10"/>
            <w:tcBorders>
              <w:bottom w:val="single" w:sz="4" w:space="0" w:color="auto"/>
            </w:tcBorders>
          </w:tcPr>
          <w:p w:rsidR="0051380C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 xml:space="preserve">Simulação por Extra 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Trees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 xml:space="preserve"> utilizando validação cruzada (todas as 185 </w:t>
            </w:r>
            <w:r w:rsidR="00230254">
              <w:rPr>
                <w:rFonts w:cstheme="minorHAnsi"/>
                <w:sz w:val="20"/>
                <w:szCs w:val="20"/>
              </w:rPr>
              <w:t>variáveis</w:t>
            </w:r>
            <w:r w:rsidRPr="003D03BB">
              <w:rPr>
                <w:rFonts w:cstheme="minorHAnsi"/>
                <w:sz w:val="20"/>
                <w:szCs w:val="20"/>
              </w:rPr>
              <w:t>)</w:t>
            </w:r>
          </w:p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Resultado de acurácia para cada uma das 10 ‘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>’:</w:t>
            </w:r>
          </w:p>
        </w:tc>
      </w:tr>
      <w:tr w:rsidR="0051380C" w:rsidTr="003D03BB"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lastRenderedPageBreak/>
              <w:t>1º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2º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3º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4º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5º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6º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7º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8º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9º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1380C" w:rsidRPr="003D03BB" w:rsidRDefault="0051380C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10º</w:t>
            </w:r>
          </w:p>
        </w:tc>
      </w:tr>
      <w:tr w:rsidR="0051380C" w:rsidTr="003D03BB"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0.682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0.861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0.841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0.897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0.874</w:t>
            </w:r>
          </w:p>
        </w:tc>
        <w:tc>
          <w:tcPr>
            <w:tcW w:w="849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0.879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0.881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0.841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0.782</w:t>
            </w:r>
          </w:p>
        </w:tc>
        <w:tc>
          <w:tcPr>
            <w:tcW w:w="850" w:type="dxa"/>
          </w:tcPr>
          <w:p w:rsidR="0051380C" w:rsidRPr="003D03BB" w:rsidRDefault="00FC25BF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0.633</w:t>
            </w:r>
          </w:p>
        </w:tc>
      </w:tr>
      <w:tr w:rsidR="003D03BB" w:rsidTr="003D03BB"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sz w:val="20"/>
                <w:szCs w:val="20"/>
              </w:rPr>
              <w:t>Média dos ‘</w:t>
            </w:r>
            <w:proofErr w:type="spellStart"/>
            <w:r w:rsidRPr="003D03BB">
              <w:rPr>
                <w:rFonts w:cstheme="minorHAnsi"/>
                <w:b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b/>
                <w:sz w:val="20"/>
                <w:szCs w:val="20"/>
              </w:rPr>
              <w:t>’:</w:t>
            </w:r>
          </w:p>
        </w:tc>
        <w:tc>
          <w:tcPr>
            <w:tcW w:w="1698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sz w:val="20"/>
                <w:szCs w:val="20"/>
              </w:rPr>
              <w:t>0.817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Desvio Padrão: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0.086</w:t>
            </w:r>
          </w:p>
        </w:tc>
      </w:tr>
      <w:tr w:rsidR="003D03BB" w:rsidTr="003D03BB">
        <w:tc>
          <w:tcPr>
            <w:tcW w:w="849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 xml:space="preserve">Simulação por Extra 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Trees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 xml:space="preserve"> utilizando validação cruzada (</w:t>
            </w:r>
            <w:r w:rsidR="00230254">
              <w:rPr>
                <w:rFonts w:cstheme="minorHAnsi"/>
                <w:sz w:val="20"/>
                <w:szCs w:val="20"/>
              </w:rPr>
              <w:t xml:space="preserve">apenas </w:t>
            </w:r>
            <w:r w:rsidRPr="003D03BB">
              <w:rPr>
                <w:rFonts w:cstheme="minorHAnsi"/>
                <w:sz w:val="20"/>
                <w:szCs w:val="20"/>
              </w:rPr>
              <w:t xml:space="preserve">7 </w:t>
            </w:r>
            <w:r w:rsidR="00230254">
              <w:rPr>
                <w:rFonts w:cstheme="minorHAnsi"/>
                <w:sz w:val="20"/>
                <w:szCs w:val="20"/>
              </w:rPr>
              <w:t>variáveis</w:t>
            </w:r>
            <w:r w:rsidRPr="003D03BB">
              <w:rPr>
                <w:rFonts w:cstheme="minorHAnsi"/>
                <w:sz w:val="20"/>
                <w:szCs w:val="20"/>
              </w:rPr>
              <w:t xml:space="preserve"> principais)</w:t>
            </w:r>
          </w:p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Resultado de acurácia para cada uma das 10 ‘</w:t>
            </w:r>
            <w:proofErr w:type="spellStart"/>
            <w:r w:rsidRPr="003D03BB">
              <w:rPr>
                <w:rFonts w:cstheme="minorHAnsi"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sz w:val="20"/>
                <w:szCs w:val="20"/>
              </w:rPr>
              <w:t xml:space="preserve">’: </w:t>
            </w:r>
          </w:p>
        </w:tc>
      </w:tr>
      <w:tr w:rsidR="003D03BB" w:rsidTr="003D03BB"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2º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3º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4º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5º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6º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7º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8º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9º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D03BB" w:rsidRPr="003D03BB" w:rsidRDefault="003D03BB" w:rsidP="003D03BB">
            <w:pPr>
              <w:jc w:val="center"/>
              <w:rPr>
                <w:rFonts w:cstheme="minorHAnsi"/>
                <w:i/>
                <w:color w:val="0070C0"/>
                <w:sz w:val="18"/>
                <w:szCs w:val="20"/>
              </w:rPr>
            </w:pPr>
            <w:r w:rsidRPr="003D03BB">
              <w:rPr>
                <w:rFonts w:cstheme="minorHAnsi"/>
                <w:i/>
                <w:color w:val="0070C0"/>
                <w:sz w:val="18"/>
                <w:szCs w:val="20"/>
              </w:rPr>
              <w:t>10º</w:t>
            </w:r>
          </w:p>
        </w:tc>
      </w:tr>
      <w:tr w:rsidR="003D03BB" w:rsidTr="003D03BB"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0.673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0.868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0.832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0.886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0.843</w:t>
            </w:r>
          </w:p>
        </w:tc>
        <w:tc>
          <w:tcPr>
            <w:tcW w:w="849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0.863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0.872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0.812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0.739</w:t>
            </w:r>
          </w:p>
        </w:tc>
        <w:tc>
          <w:tcPr>
            <w:tcW w:w="850" w:type="dxa"/>
          </w:tcPr>
          <w:p w:rsidR="003D03BB" w:rsidRPr="003D03BB" w:rsidRDefault="003D03BB" w:rsidP="003D03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0.607</w:t>
            </w:r>
          </w:p>
        </w:tc>
      </w:tr>
      <w:tr w:rsidR="003D03BB" w:rsidTr="003D03BB">
        <w:tc>
          <w:tcPr>
            <w:tcW w:w="2547" w:type="dxa"/>
            <w:gridSpan w:val="3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sz w:val="20"/>
                <w:szCs w:val="20"/>
              </w:rPr>
              <w:t>Média dos ‘</w:t>
            </w:r>
            <w:proofErr w:type="spellStart"/>
            <w:r w:rsidRPr="003D03BB">
              <w:rPr>
                <w:rFonts w:cstheme="minorHAnsi"/>
                <w:b/>
                <w:sz w:val="20"/>
                <w:szCs w:val="20"/>
              </w:rPr>
              <w:t>folds</w:t>
            </w:r>
            <w:proofErr w:type="spellEnd"/>
            <w:r w:rsidRPr="003D03BB">
              <w:rPr>
                <w:rFonts w:cstheme="minorHAnsi"/>
                <w:b/>
                <w:sz w:val="20"/>
                <w:szCs w:val="20"/>
              </w:rPr>
              <w:t>’:</w:t>
            </w:r>
          </w:p>
        </w:tc>
        <w:tc>
          <w:tcPr>
            <w:tcW w:w="1698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b/>
                <w:sz w:val="20"/>
                <w:szCs w:val="20"/>
              </w:rPr>
            </w:pPr>
            <w:r w:rsidRPr="003D03BB">
              <w:rPr>
                <w:rFonts w:cstheme="minorHAnsi"/>
                <w:b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pStyle w:val="Pr-formataoHTML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sz w:val="20"/>
                <w:szCs w:val="20"/>
              </w:rPr>
              <w:t>Desvio Padrão: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D03BB" w:rsidRPr="003D03BB" w:rsidRDefault="003D03BB" w:rsidP="003D03BB">
            <w:pPr>
              <w:rPr>
                <w:rFonts w:cstheme="minorHAnsi"/>
                <w:sz w:val="20"/>
                <w:szCs w:val="20"/>
              </w:rPr>
            </w:pPr>
            <w:r w:rsidRPr="003D03BB">
              <w:rPr>
                <w:rFonts w:cstheme="minorHAnsi"/>
                <w:color w:val="000000"/>
                <w:sz w:val="20"/>
                <w:szCs w:val="20"/>
              </w:rPr>
              <w:t>0.090</w:t>
            </w:r>
          </w:p>
        </w:tc>
      </w:tr>
    </w:tbl>
    <w:p w:rsidR="0051380C" w:rsidRDefault="0051380C"/>
    <w:p w:rsidR="002621A4" w:rsidRDefault="009C5871" w:rsidP="0051380C">
      <w:pPr>
        <w:pStyle w:val="ABNTtexto"/>
      </w:pPr>
      <w:r>
        <w:tab/>
        <w:t xml:space="preserve">A utilização de validação cruzada permite uma avaliação mais precisa do modelo de predição, uma vez que o mesmo </w:t>
      </w:r>
      <w:proofErr w:type="spellStart"/>
      <w:r>
        <w:t>dataset</w:t>
      </w:r>
      <w:proofErr w:type="spellEnd"/>
      <w:r>
        <w:t xml:space="preserve"> é dividido entre treino e teste de diferentes maneiras de forma que toas as partes sejam utilizadas nas duas categorias em diferentes ‘</w:t>
      </w:r>
      <w:proofErr w:type="spellStart"/>
      <w:r>
        <w:t>folds</w:t>
      </w:r>
      <w:proofErr w:type="spellEnd"/>
      <w:r>
        <w:t xml:space="preserve">’. A média dos resultados é também mais representativa para explicar o modelo, assim como o desvio padrão dos resultados de acurácia dos 10 </w:t>
      </w:r>
      <w:proofErr w:type="spellStart"/>
      <w:r>
        <w:t>folds</w:t>
      </w:r>
      <w:proofErr w:type="spellEnd"/>
      <w:r>
        <w:t xml:space="preserve"> ajuda a demonstrar a possibilidade de </w:t>
      </w:r>
      <w:proofErr w:type="spellStart"/>
      <w:r>
        <w:t>overfitting</w:t>
      </w:r>
      <w:proofErr w:type="spellEnd"/>
      <w:r>
        <w:t xml:space="preserve">. </w:t>
      </w:r>
    </w:p>
    <w:p w:rsidR="002621A4" w:rsidRDefault="002621A4" w:rsidP="0051380C">
      <w:pPr>
        <w:pStyle w:val="ABNTtexto"/>
      </w:pPr>
      <w:r>
        <w:tab/>
        <w:t xml:space="preserve">Os resultados da média para o modelo de Extra </w:t>
      </w:r>
      <w:proofErr w:type="spellStart"/>
      <w:r>
        <w:t>Trees</w:t>
      </w:r>
      <w:proofErr w:type="spellEnd"/>
      <w:r>
        <w:t xml:space="preserve"> utilizando validação cruzada com 10 </w:t>
      </w:r>
      <w:proofErr w:type="spellStart"/>
      <w:r>
        <w:t>folds</w:t>
      </w:r>
      <w:proofErr w:type="spellEnd"/>
      <w:r>
        <w:t xml:space="preserve"> para todas as variáveis e para somente as 7 variáveis principais foi de 81.7% e 80%.  Os resultados tornam evidentes como, a partir deste </w:t>
      </w:r>
      <w:proofErr w:type="spellStart"/>
      <w:r>
        <w:t>dataset</w:t>
      </w:r>
      <w:proofErr w:type="spellEnd"/>
      <w:r>
        <w:t xml:space="preserve">, é possível predizer o desempenho IDSUS dos municípios a partir de poucas variáveis uma vez que a diferença de 197 variáveis entre as duas simulações incrementou a eficiência do modelo em apenas 1.7%. </w:t>
      </w:r>
    </w:p>
    <w:p w:rsidR="00230254" w:rsidRDefault="002621A4" w:rsidP="0051380C">
      <w:pPr>
        <w:pStyle w:val="ABNTtexto"/>
      </w:pPr>
      <w:r>
        <w:tab/>
        <w:t xml:space="preserve"> É preciso notar também que o</w:t>
      </w:r>
      <w:r w:rsidR="00230254">
        <w:t xml:space="preserve"> primeiro e último </w:t>
      </w:r>
      <w:proofErr w:type="spellStart"/>
      <w:r w:rsidR="00230254">
        <w:t>fold</w:t>
      </w:r>
      <w:proofErr w:type="spellEnd"/>
      <w:r w:rsidR="00230254">
        <w:t xml:space="preserve"> das duas simulações</w:t>
      </w:r>
      <w:r>
        <w:t xml:space="preserve"> apresentam acurácia mais baixa e refletem em um desvio padrão não tão baixo quando poderia se esperar.</w:t>
      </w:r>
      <w:r w:rsidR="00230254">
        <w:t xml:space="preserve"> Talvez alguma outra abordagem estatística par</w:t>
      </w:r>
      <w:r>
        <w:t>a</w:t>
      </w:r>
      <w:r w:rsidR="00230254">
        <w:t xml:space="preserve"> estes dados poderiam se</w:t>
      </w:r>
      <w:r>
        <w:t>r realizadas, ou até a adição de outras variáveis que ajudem o modelo a desempenhar melhor.</w:t>
      </w:r>
    </w:p>
    <w:p w:rsidR="00A679E8" w:rsidRPr="002621A4" w:rsidRDefault="0051380C" w:rsidP="0051380C">
      <w:pPr>
        <w:pStyle w:val="ABNTtexto"/>
        <w:numPr>
          <w:ilvl w:val="0"/>
          <w:numId w:val="3"/>
        </w:numPr>
        <w:rPr>
          <w:b/>
        </w:rPr>
      </w:pPr>
      <w:r w:rsidRPr="002621A4">
        <w:rPr>
          <w:b/>
        </w:rPr>
        <w:t>CONCLUSÃO</w:t>
      </w:r>
      <w:r w:rsidR="002621A4" w:rsidRPr="002621A4">
        <w:rPr>
          <w:b/>
        </w:rPr>
        <w:t xml:space="preserve"> E RECOMENDAÇÕES</w:t>
      </w:r>
    </w:p>
    <w:p w:rsidR="002621A4" w:rsidRDefault="002621A4" w:rsidP="002621A4">
      <w:pPr>
        <w:pStyle w:val="ABNTtexto"/>
      </w:pPr>
      <w:r>
        <w:tab/>
        <w:t xml:space="preserve">A utilização dos dados do Censo 2010, em especial a proporção de cidadãos de acordo com faixa de renda per capita, permitem elaborar um modelo de predição do IDSUS 2010 com a utilização de árvores de decisão. Não houve uma diferença de desempenho substancial entre os algoritmos </w:t>
      </w:r>
      <w:proofErr w:type="spellStart"/>
      <w:r>
        <w:t>Random</w:t>
      </w:r>
      <w:proofErr w:type="spellEnd"/>
      <w:r>
        <w:t xml:space="preserve"> Forest e Extra </w:t>
      </w:r>
      <w:proofErr w:type="spellStart"/>
      <w:r>
        <w:t>Trees</w:t>
      </w:r>
      <w:proofErr w:type="spellEnd"/>
      <w:r>
        <w:t>. Por fim, a variável ‘</w:t>
      </w:r>
      <w:proofErr w:type="spellStart"/>
      <w:r>
        <w:t>idsus_fx</w:t>
      </w:r>
      <w:proofErr w:type="spellEnd"/>
      <w:r>
        <w:t xml:space="preserve">’ não é recomendada para a predição do desempenho dos municípios no IDSUS. Recomenda-se a futura execução deste modelo com os dados do Censo 2021 quando o mesmo for publicado. </w:t>
      </w:r>
    </w:p>
    <w:p w:rsidR="00FE783B" w:rsidRDefault="00FE783B" w:rsidP="002621A4">
      <w:pPr>
        <w:pStyle w:val="ABNTtexto"/>
      </w:pPr>
    </w:p>
    <w:p w:rsidR="00FE783B" w:rsidRPr="00FE783B" w:rsidRDefault="00FE783B" w:rsidP="002621A4">
      <w:pPr>
        <w:pStyle w:val="ABNTtexto"/>
        <w:rPr>
          <w:b/>
        </w:rPr>
      </w:pPr>
      <w:r w:rsidRPr="00FE783B">
        <w:rPr>
          <w:b/>
        </w:rPr>
        <w:t>BIBLIOGRAFIA</w:t>
      </w:r>
    </w:p>
    <w:p w:rsidR="00FE783B" w:rsidRDefault="00FE783B" w:rsidP="002621A4">
      <w:pPr>
        <w:pStyle w:val="ABNTtexto"/>
      </w:pPr>
    </w:p>
    <w:p w:rsidR="00A679E8" w:rsidRDefault="00A679E8"/>
    <w:sectPr w:rsidR="00A679E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60" w:rsidRDefault="00E15960" w:rsidP="004138A6">
      <w:pPr>
        <w:spacing w:after="0" w:line="240" w:lineRule="auto"/>
      </w:pPr>
      <w:r>
        <w:separator/>
      </w:r>
    </w:p>
  </w:endnote>
  <w:endnote w:type="continuationSeparator" w:id="0">
    <w:p w:rsidR="00E15960" w:rsidRDefault="00E15960" w:rsidP="0041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60" w:rsidRDefault="00E15960" w:rsidP="004138A6">
      <w:pPr>
        <w:spacing w:after="0" w:line="240" w:lineRule="auto"/>
      </w:pPr>
      <w:r>
        <w:separator/>
      </w:r>
    </w:p>
  </w:footnote>
  <w:footnote w:type="continuationSeparator" w:id="0">
    <w:p w:rsidR="00E15960" w:rsidRDefault="00E15960" w:rsidP="0041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A6" w:rsidRPr="004138A6" w:rsidRDefault="004138A6" w:rsidP="004138A6">
    <w:pPr>
      <w:pStyle w:val="Cabealho"/>
      <w:jc w:val="center"/>
      <w:rPr>
        <w:rFonts w:cstheme="minorHAnsi"/>
        <w:b/>
        <w:sz w:val="18"/>
        <w:szCs w:val="18"/>
      </w:rPr>
    </w:pPr>
    <w:r w:rsidRPr="004138A6">
      <w:rPr>
        <w:rFonts w:cstheme="minorHAnsi"/>
        <w:b/>
        <w:sz w:val="18"/>
        <w:szCs w:val="18"/>
      </w:rPr>
      <w:t>MODELO PREDITIVO DO IDSUS 2010 A PARTIR DOS DADOS DO CENSO 2010</w:t>
    </w:r>
  </w:p>
  <w:p w:rsidR="004138A6" w:rsidRPr="004138A6" w:rsidRDefault="004138A6" w:rsidP="004138A6">
    <w:pPr>
      <w:pStyle w:val="Cabealho"/>
      <w:jc w:val="center"/>
      <w:rPr>
        <w:rFonts w:cstheme="minorHAnsi"/>
        <w:i/>
        <w:sz w:val="18"/>
        <w:szCs w:val="18"/>
      </w:rPr>
    </w:pPr>
    <w:r w:rsidRPr="004138A6">
      <w:rPr>
        <w:rFonts w:cstheme="minorHAnsi"/>
        <w:i/>
        <w:sz w:val="18"/>
        <w:szCs w:val="18"/>
      </w:rPr>
      <w:t xml:space="preserve">YURI PIFFER, Trabalho da disciplina </w:t>
    </w:r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 xml:space="preserve">PCI510009 - </w:t>
    </w:r>
    <w:proofErr w:type="spellStart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>Machine</w:t>
    </w:r>
    <w:proofErr w:type="spellEnd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 xml:space="preserve"> Learning e </w:t>
    </w:r>
    <w:proofErr w:type="spellStart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>Deep</w:t>
    </w:r>
    <w:proofErr w:type="spellEnd"/>
    <w:r w:rsidRPr="004138A6">
      <w:rPr>
        <w:rFonts w:cstheme="minorHAnsi"/>
        <w:i/>
        <w:color w:val="000000"/>
        <w:sz w:val="18"/>
        <w:szCs w:val="18"/>
        <w:shd w:val="clear" w:color="auto" w:fill="FFFFFF"/>
      </w:rPr>
      <w:t xml:space="preserve">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406"/>
    <w:multiLevelType w:val="hybridMultilevel"/>
    <w:tmpl w:val="F98AB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03C91"/>
    <w:multiLevelType w:val="multilevel"/>
    <w:tmpl w:val="E042F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3315536"/>
    <w:multiLevelType w:val="hybridMultilevel"/>
    <w:tmpl w:val="B374D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55FB"/>
    <w:multiLevelType w:val="hybridMultilevel"/>
    <w:tmpl w:val="1FDCA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01074"/>
    <w:multiLevelType w:val="hybridMultilevel"/>
    <w:tmpl w:val="AE5C8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80ED6"/>
    <w:multiLevelType w:val="hybridMultilevel"/>
    <w:tmpl w:val="B39C0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D0316"/>
    <w:multiLevelType w:val="hybridMultilevel"/>
    <w:tmpl w:val="345E7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9694B"/>
    <w:multiLevelType w:val="hybridMultilevel"/>
    <w:tmpl w:val="4ACE3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369CD"/>
    <w:multiLevelType w:val="hybridMultilevel"/>
    <w:tmpl w:val="CEB20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016A6"/>
    <w:multiLevelType w:val="hybridMultilevel"/>
    <w:tmpl w:val="21647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30849"/>
    <w:multiLevelType w:val="hybridMultilevel"/>
    <w:tmpl w:val="F3CA4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E0B7C"/>
    <w:multiLevelType w:val="hybridMultilevel"/>
    <w:tmpl w:val="76320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46165"/>
    <w:multiLevelType w:val="hybridMultilevel"/>
    <w:tmpl w:val="69426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B"/>
    <w:rsid w:val="000C2424"/>
    <w:rsid w:val="000C328F"/>
    <w:rsid w:val="00111FFA"/>
    <w:rsid w:val="001334BC"/>
    <w:rsid w:val="00136E77"/>
    <w:rsid w:val="00196D2E"/>
    <w:rsid w:val="001A710D"/>
    <w:rsid w:val="001B0F19"/>
    <w:rsid w:val="001E33D9"/>
    <w:rsid w:val="001E5108"/>
    <w:rsid w:val="00230254"/>
    <w:rsid w:val="002621A4"/>
    <w:rsid w:val="00262A1B"/>
    <w:rsid w:val="002B2431"/>
    <w:rsid w:val="002B67A8"/>
    <w:rsid w:val="002D604F"/>
    <w:rsid w:val="0031751F"/>
    <w:rsid w:val="003B681F"/>
    <w:rsid w:val="003D03BB"/>
    <w:rsid w:val="003D4FF5"/>
    <w:rsid w:val="003E6FBB"/>
    <w:rsid w:val="004138A6"/>
    <w:rsid w:val="004437E3"/>
    <w:rsid w:val="004455CB"/>
    <w:rsid w:val="00471995"/>
    <w:rsid w:val="0051380C"/>
    <w:rsid w:val="0052351D"/>
    <w:rsid w:val="005522E4"/>
    <w:rsid w:val="0058084D"/>
    <w:rsid w:val="00592D2A"/>
    <w:rsid w:val="005A77C0"/>
    <w:rsid w:val="005B79EF"/>
    <w:rsid w:val="005C258F"/>
    <w:rsid w:val="005C2B3B"/>
    <w:rsid w:val="005D4FDC"/>
    <w:rsid w:val="005E27C2"/>
    <w:rsid w:val="00603AA2"/>
    <w:rsid w:val="00620AD9"/>
    <w:rsid w:val="00635221"/>
    <w:rsid w:val="00656F25"/>
    <w:rsid w:val="006C0A0D"/>
    <w:rsid w:val="006E2157"/>
    <w:rsid w:val="006F38E2"/>
    <w:rsid w:val="006F6E26"/>
    <w:rsid w:val="007A5FF0"/>
    <w:rsid w:val="009407B6"/>
    <w:rsid w:val="00942685"/>
    <w:rsid w:val="00957614"/>
    <w:rsid w:val="009961F0"/>
    <w:rsid w:val="00997FF5"/>
    <w:rsid w:val="009C22FB"/>
    <w:rsid w:val="009C5871"/>
    <w:rsid w:val="00A20FEE"/>
    <w:rsid w:val="00A679E8"/>
    <w:rsid w:val="00A83011"/>
    <w:rsid w:val="00AB15B7"/>
    <w:rsid w:val="00AD46DD"/>
    <w:rsid w:val="00B03B49"/>
    <w:rsid w:val="00B94477"/>
    <w:rsid w:val="00BB60E1"/>
    <w:rsid w:val="00C9742E"/>
    <w:rsid w:val="00CC2D4E"/>
    <w:rsid w:val="00D03726"/>
    <w:rsid w:val="00D06D1D"/>
    <w:rsid w:val="00DF2147"/>
    <w:rsid w:val="00E06D31"/>
    <w:rsid w:val="00E15960"/>
    <w:rsid w:val="00E436A8"/>
    <w:rsid w:val="00E72E82"/>
    <w:rsid w:val="00F55AA9"/>
    <w:rsid w:val="00F67390"/>
    <w:rsid w:val="00FC25BF"/>
    <w:rsid w:val="00FC7000"/>
    <w:rsid w:val="00FD124D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F0E2BA-F2E3-4571-BF05-D525FF8E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21"/>
  </w:style>
  <w:style w:type="paragraph" w:styleId="Ttulo1">
    <w:name w:val="heading 1"/>
    <w:basedOn w:val="Normal"/>
    <w:next w:val="Normal"/>
    <w:link w:val="Ttulo1Char"/>
    <w:uiPriority w:val="9"/>
    <w:qFormat/>
    <w:rsid w:val="00317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2A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C242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92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NTcitaolonga">
    <w:name w:val="ABNT citação longa"/>
    <w:basedOn w:val="Normal"/>
    <w:link w:val="ABNTcitaolongaChar"/>
    <w:qFormat/>
    <w:rsid w:val="00F55AA9"/>
    <w:pPr>
      <w:spacing w:after="360" w:line="240" w:lineRule="auto"/>
      <w:ind w:left="2268"/>
      <w:jc w:val="both"/>
    </w:pPr>
    <w:rPr>
      <w:sz w:val="20"/>
    </w:rPr>
  </w:style>
  <w:style w:type="paragraph" w:customStyle="1" w:styleId="ABNTtexto">
    <w:name w:val="ABNT texto"/>
    <w:basedOn w:val="Normal"/>
    <w:link w:val="ABNTtextoChar"/>
    <w:qFormat/>
    <w:rsid w:val="00F55AA9"/>
    <w:pPr>
      <w:spacing w:line="360" w:lineRule="auto"/>
      <w:jc w:val="both"/>
    </w:pPr>
  </w:style>
  <w:style w:type="character" w:customStyle="1" w:styleId="ABNTcitaolongaChar">
    <w:name w:val="ABNT citação longa Char"/>
    <w:basedOn w:val="Fontepargpadro"/>
    <w:link w:val="ABNTcitaolonga"/>
    <w:rsid w:val="00F55AA9"/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17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NTtextoChar">
    <w:name w:val="ABNT texto Char"/>
    <w:basedOn w:val="Fontepargpadro"/>
    <w:link w:val="ABNTtexto"/>
    <w:rsid w:val="00F55AA9"/>
  </w:style>
  <w:style w:type="paragraph" w:styleId="PargrafodaLista">
    <w:name w:val="List Paragraph"/>
    <w:basedOn w:val="Normal"/>
    <w:uiPriority w:val="34"/>
    <w:qFormat/>
    <w:rsid w:val="00B94477"/>
    <w:pPr>
      <w:ind w:left="720"/>
      <w:contextualSpacing/>
    </w:pPr>
  </w:style>
  <w:style w:type="paragraph" w:customStyle="1" w:styleId="Standard">
    <w:name w:val="Standard"/>
    <w:rsid w:val="00DF214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B2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243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3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8A6"/>
  </w:style>
  <w:style w:type="paragraph" w:styleId="Rodap">
    <w:name w:val="footer"/>
    <w:basedOn w:val="Normal"/>
    <w:link w:val="RodapChar"/>
    <w:uiPriority w:val="99"/>
    <w:unhideWhenUsed/>
    <w:rsid w:val="00413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datica.tech/algoritmos-de-machine-learn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dsus.saude.gov.br/grupo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AE445-97C5-4D27-9E65-A6E174A4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11</Pages>
  <Words>3528</Words>
  <Characters>19054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T-Gamer</cp:lastModifiedBy>
  <cp:revision>13</cp:revision>
  <dcterms:created xsi:type="dcterms:W3CDTF">2021-03-28T20:15:00Z</dcterms:created>
  <dcterms:modified xsi:type="dcterms:W3CDTF">2021-03-30T02:45:00Z</dcterms:modified>
</cp:coreProperties>
</file>