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color w:val="2E75B6"/>
          <w:sz w:val="72"/>
          <w:szCs w:val="72"/>
        </w:rPr>
        <w:t xml:space="preserve">Acumatica Surveys</w:t>
      </w:r>
    </w:p>
    <w:p>
      <w:pPr>
        <w:spacing w:after="400"/>
        <w:jc w:val="center"/>
      </w:pPr>
      <w:r>
        <w:rPr>
          <w:color w:val="555555"/>
          <w:sz w:val="44"/>
          <w:szCs w:val="44"/>
        </w:rPr>
        <w:t xml:space="preserve">User Guide</w:t>
      </w:r>
    </w:p>
    <w:p>
      <w:pPr>
        <w:spacing w:after="1200"/>
        <w:jc w:val="center"/>
      </w:pPr>
      <w:r>
        <w:rPr>
          <w:i/>
          <w:iCs/>
          <w:color w:val="666666"/>
          <w:sz w:val="26"/>
          <w:szCs w:val="26"/>
        </w:rPr>
        <w:t xml:space="preserve">Configure, send and track surveys from inside Acumatica ERP</w:t>
      </w:r>
    </w:p>
    <w:p>
      <w:pPr>
        <w:spacing w:after="200"/>
        <w:jc w:val="center"/>
      </w:pPr>
      <w:r>
        <w:drawing>
          <wp:inline distT="0" distB="0" distL="0" distR="0">
            <wp:extent cx="5143500" cy="2828925"/>
            <wp:effectExtent t="0" r="0" b="0" l="0"/>
            <wp:docPr id="1" name="Survey-Workspace.PNG" descr="Survey workspace in Acumatica" title="Survey-Worksp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  <w:jc w:val="center"/>
      </w:pPr>
      <w:r>
        <w:rPr>
          <w:color w:val="555555"/>
        </w:rPr>
        <w:t xml:space="preserve">Customization package: </w:t>
      </w:r>
      <w:r>
        <w:rPr>
          <w:b/>
          <w:bCs/>
        </w:rPr>
        <w:t xml:space="preserve">Survey26R1.zip</w:t>
      </w:r>
    </w:p>
    <w:p>
      <w:pPr>
        <w:jc w:val="center"/>
      </w:pPr>
      <w:r>
        <w:rPr>
          <w:color w:val="555555"/>
        </w:rPr>
        <w:t xml:space="preserve">Acumatica version: </w:t>
      </w:r>
      <w:r>
        <w:rPr>
          <w:b/>
          <w:bCs/>
        </w:rPr>
        <w:t xml:space="preserve">2026 R1 (26.100)</w:t>
      </w:r>
    </w:p>
    <w:p>
      <w:pPr>
        <w:pStyle w:val="Heading1"/>
        <w:pageBreakBefore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60"/>
        <w:jc w:val="left"/>
      </w:pPr>
      <w:r>
        <w:t xml:space="preserve">To refresh the table of contents in Word, right-click inside it and choose “Update Field”, then “Update entire table”.</w:t>
      </w:r>
    </w:p>
    <w:p>
      <w:pPr>
        <w:pStyle w:val="Heading1"/>
        <w:pageBreakBefore/>
      </w:pPr>
      <w:r>
        <w:t xml:space="preserve">1. Overview</w:t>
      </w:r>
    </w:p>
    <w:p>
      <w:pPr>
        <w:spacing w:after="160"/>
        <w:jc w:val="left"/>
      </w:pPr>
      <w:r>
        <w:t xml:space="preserve">Acumatica Surveys is a customization package that adds a complete survey / questionnaire engine to any Acumatica ERP instance. Originally built as a COVID-19 employee wellness tracker, it has grown into a general-purpose tool for sending surveys to employees, customers or contacts and capturing their responses back inside Acumatica.</w:t>
      </w:r>
    </w:p>
    <w:p>
      <w:pPr>
        <w:pStyle w:val="Heading2"/>
      </w:pPr>
      <w:r>
        <w:t xml:space="preserve">1.1 What you get after installing the package</w:t>
      </w:r>
    </w:p>
    <w:p>
      <w:pPr>
        <w:spacing w:after="160"/>
        <w:jc w:val="left"/>
      </w:pPr>
      <w:r>
        <w:t xml:space="preserve">Once Survey26R1 is imported and published, a new Surveys workspace appears in the left-hand menu. It groups together the screens listed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Screen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SU101000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Survey Preferences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Numbering sequence, default components, webhook binding, anonymous contact.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SU204003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Survey 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Reusable HTML/Scriban fragments — welcome page, radio-buttons, progress bar,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SU201000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survey itself: compose the sequence of components and questions, manage recipients, watch collectors and answers.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SU301000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Survey Collector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record per recipient (the 'ballot'): captures token, status, sent / expired dates and the raw answers.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SU501000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 Surveys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Mass-generate or mass-send collectors to recipients and start or close surveys.</w:t>
            </w:r>
          </w:p>
        </w:tc>
      </w:tr>
    </w:tbl>
    <w:p>
      <w:pPr>
        <w:spacing w:after="160"/>
        <w:jc w:val="left"/>
      </w:pPr>
      <w:r>
        <w:t xml:space="preserve"> </w:t>
      </w:r>
    </w:p>
    <w:p>
      <w:pPr>
        <w:spacing w:after="20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Survey-Workspace.PNG" descr="Surveys workspace on the left-hand menu" title="Survey-Worksp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Surveys workspace exposed by the customization</w:t>
      </w:r>
    </w:p>
    <w:p>
      <w:pPr>
        <w:pStyle w:val="Heading2"/>
      </w:pPr>
      <w:r>
        <w:t xml:space="preserve">1.2 Architecture at a glance</w:t>
      </w:r>
    </w:p>
    <w:p>
      <w:pPr>
        <w:spacing w:after="160"/>
        <w:jc w:val="left"/>
      </w:pPr>
      <w:r>
        <w:t xml:space="preserve">End-to-end, the flow looks like this: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survey is built in Acumatica from reusable components and stored in the Survey 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you start or send a survey, the Process Surveys screen creates a SurveyCollector row for each recipient. Each collector carries a unique token and, for logged-in users, an owner contact.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recipient opens the survey via a webhook URL. No Acumatica login is required when the survey allows anonymous answers.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page submission is persisted into SurveyCollectorData (raw payload) and, once processed, split into SurveyAnswer rows for reporting.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Dashboards and Generic Inquiries aggregate the answers for management.</w:t>
      </w:r>
    </w:p>
    <w:p>
      <w:pPr>
        <w:pStyle w:val="Heading1"/>
        <w:pageBreakBefore/>
      </w:pPr>
      <w:r>
        <w:t xml:space="preserve">2. Installation</w:t>
      </w:r>
    </w:p>
    <w:p>
      <w:pPr>
        <w:spacing w:after="160"/>
        <w:jc w:val="left"/>
      </w:pPr>
      <w:r>
        <w:t xml:space="preserve">Before you can configure or use surveys, the customization package must be imported and published.</w:t>
      </w:r>
    </w:p>
    <w:p>
      <w:pPr>
        <w:pStyle w:val="Heading2"/>
      </w:pPr>
      <w:r>
        <w:t xml:space="preserve">2.1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running Acumatica ERP 2026 R1 instance (build 26.100.x or later).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Administrator access (the admin user is used in examples below).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customization package Survey26R1.zip included with this release.</w:t>
      </w:r>
    </w:p>
    <w:p>
      <w:pPr>
        <w:pStyle w:val="Heading2"/>
      </w:pPr>
      <w:r>
        <w:t xml:space="preserve">2.2 Import and publish the package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Customization Projects screen (SM204505): type “Customization” in the search box and pick Customization Projects.</w:t>
      </w:r>
    </w:p>
    <w:p>
      <w:pPr>
        <w:spacing w:after="20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SS0-CustomizationProjects.PNG" descr="Open Customization Projects screen" title="SS0-CustomizationProjec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Opening the Customization Projects screen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Import → Import New Project and choose Survey26R1.zip.</w:t>
      </w:r>
    </w:p>
    <w:p>
      <w:pPr>
        <w:spacing w:after="20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SS2-ImportNewProject.PNG" descr="Import New Project menu" title="SS2-ImportNewProj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Import New Project menu on the Customization Projects screen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the imported row and click Publish. Wait for the status to become Published.</w:t>
      </w:r>
    </w:p>
    <w:p>
      <w:pPr>
        <w:spacing w:after="20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SS3-PublishPackage.PNG" descr="Publish the package" title="SS3-PublishPack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Publishing the imported customization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24"/>
              <w:bottom w:val="single" w:color="2E75B6" w:sz="6"/>
              <w:right w:val="single" w:color="2E75B6" w:sz="6"/>
            </w:tcBorders>
            <w:shd w:fill="E7F1FB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5B6"/>
              </w:rPr>
              <w:t xml:space="preserve">Note: </w:t>
            </w:r>
            <w:r>
              <w:t xml:space="preserve">After the first publish you may see a prompt asking to overwrite existing notification templates or sample survey records. Confirm the overwrite — the package ships with a demo “Case Survey” you will use later to verify the flow.</w:t>
            </w:r>
          </w:p>
        </w:tc>
      </w:tr>
    </w:tbl>
    <w:p>
      <w:pPr>
        <w:pStyle w:val="Heading1"/>
        <w:pageBreakBefore/>
      </w:pPr>
      <w:r>
        <w:t xml:space="preserve">3. Configuring the Survey Module</w:t>
      </w:r>
    </w:p>
    <w:p>
      <w:pPr>
        <w:pStyle w:val="Heading2"/>
      </w:pPr>
      <w:r>
        <w:t xml:space="preserve">3.1 Survey Preferences (SU101000)</w:t>
      </w:r>
    </w:p>
    <w:p>
      <w:pPr>
        <w:spacing w:after="160"/>
        <w:jc w:val="left"/>
      </w:pPr>
      <w:r>
        <w:t xml:space="preserve">Survey Preferences is the system-wide configuration screen. You must complete at least the Numbering Sequence and Contacts before sending any survey.</w:t>
      </w:r>
    </w:p>
    <w:p>
      <w:pPr>
        <w:spacing w:after="200"/>
        <w:jc w:val="center"/>
      </w:pPr>
      <w:r>
        <w:drawing>
          <wp:inline distT="0" distB="0" distL="0" distR="0">
            <wp:extent cx="5143500" cy="2828925"/>
            <wp:effectExtent t="0" r="0" b="0" l="0"/>
            <wp:docPr id="1" name="S001 - Survey Preferences.PNG" descr="Survey Preferences screen" title="S001 - Survey Preferen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Survey Preferences screen (SU101000) in Modern UI</w:t>
      </w:r>
    </w:p>
    <w:p>
      <w:pPr>
        <w:pStyle w:val="Heading3"/>
      </w:pPr>
      <w:r>
        <w:t xml:space="preserve">3.1.1 Numbering Sequences</w:t>
      </w:r>
    </w:p>
    <w:p>
      <w:pPr>
        <w:spacing w:after="160"/>
        <w:jc w:val="left"/>
      </w:pPr>
      <w:r>
        <w:t xml:space="preserve">Create or pick a numbering sequence that will generate Survey IDs (for example SV10001, SV10002, …). You can create a new sequence directly from the selector by clicking the edit icon.</w:t>
      </w:r>
    </w:p>
    <w:p>
      <w:pPr>
        <w:spacing w:after="20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SS4-SurveyPreferencesNumberingID.PNG" descr="Numbering Sequence dropdown" title="SS4-SurveyPreferencesNumbering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Selecting the Survey Numbering ID</w:t>
      </w:r>
    </w:p>
    <w:p>
      <w:pPr>
        <w:pStyle w:val="Heading3"/>
      </w:pPr>
      <w:r>
        <w:t xml:space="preserve">3.1.2 Default components</w:t>
      </w:r>
    </w:p>
    <w:p>
      <w:pPr>
        <w:spacing w:after="160"/>
        <w:jc w:val="left"/>
      </w:pPr>
      <w:r>
        <w:t xml:space="preserve">These pointers tell the survey generator which reusable components to use by default when it builds a survey page: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Wrapper HTML used for every page of the survey.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Header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Header shown at the top of every survey page (logo, title).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 for a rendered question row.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Comment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 for free-text comment fields.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Footer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Footer shown at the bottom of every survey page.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 Request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 rendered when a respondent uses an invalid token.</w:t>
            </w:r>
          </w:p>
        </w:tc>
      </w:tr>
    </w:tbl>
    <w:p>
      <w:pPr>
        <w:spacing w:after="16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24"/>
              <w:bottom w:val="single" w:color="2E7D32" w:sz="6"/>
              <w:right w:val="single" w:color="2E7D32" w:sz="6"/>
            </w:tcBorders>
            <w:shd w:fill="E8F5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D32"/>
              </w:rPr>
              <w:t xml:space="preserve">Tip: </w:t>
            </w:r>
            <w:r>
              <w:t xml:space="preserve">Start from the pre-loaded components (SUMAIN, SUWELCOME, SUPROGRESS, SUPREVNEXT, SURADIOBUTTONS, SUTEXTAREA, SUTHANKYOU, SUBADREQUEST). They are ready to use and cover most scenarios.</w:t>
            </w:r>
          </w:p>
        </w:tc>
      </w:tr>
    </w:tbl>
    <w:p>
      <w:pPr>
        <w:pStyle w:val="Heading3"/>
      </w:pPr>
      <w:r>
        <w:t xml:space="preserve">3.1.3 Notifications and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 handler that serves survey pages (Survey).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Notification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template sent when a collector is generated.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Reminder Notification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template sent when a reminder is triggered.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From: contact for all notifications.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Anonymous Contact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placeholder used for anonymous collectors.</w:t>
            </w:r>
          </w:p>
        </w:tc>
      </w:tr>
    </w:tbl>
    <w:p>
      <w:pPr>
        <w:spacing w:after="16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6A00" w:sz="6"/>
              <w:left w:val="single" w:color="B26A00" w:sz="24"/>
              <w:bottom w:val="single" w:color="B26A00" w:sz="6"/>
              <w:right w:val="single" w:color="B26A00" w:sz="6"/>
            </w:tcBorders>
            <w:shd w:fill="FFF4E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B26A00"/>
              </w:rPr>
              <w:t xml:space="preserve">Warning: </w:t>
            </w:r>
            <w:r>
              <w:t xml:space="preserve">Anonymous Contact is required for public (AllowAnonymous=true) surveys. Without it the webhook endpoint returns 500 for every anonymous request.</w:t>
            </w:r>
          </w:p>
        </w:tc>
      </w:tr>
    </w:tbl>
    <w:p>
      <w:pPr>
        <w:pStyle w:val="Heading2"/>
      </w:pPr>
      <w:r>
        <w:t xml:space="preserve">3.2 Survey Components (SU204003)</w:t>
      </w:r>
    </w:p>
    <w:p>
      <w:pPr>
        <w:spacing w:after="160"/>
        <w:jc w:val="left"/>
      </w:pPr>
      <w:r>
        <w:t xml:space="preserve">Survey Components are reusable HTML / Scriban fragments. They are composed into survey pages at generation time. Every component has: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Component ID — e.g. SURADIOBUTTONS.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Component Type — PH (page header), PF (page footer), HE (header), FO (footer), QU (question), CM (comment), MN (main container).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Description — shown in selectors and in the page designer.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 — the Scriban / HTML template that renders the component.</w:t>
      </w:r>
    </w:p>
    <w:p>
      <w:pPr>
        <w:spacing w:after="160"/>
        <w:jc w:val="left"/>
      </w:pPr>
      <w:r>
        <w:t xml:space="preserve"> </w:t>
      </w:r>
    </w:p>
    <w:p>
      <w:pPr>
        <w:spacing w:after="200"/>
        <w:jc w:val="center"/>
      </w:pPr>
      <w:r>
        <w:drawing>
          <wp:inline distT="0" distB="0" distL="0" distR="0">
            <wp:extent cx="5143500" cy="2828925"/>
            <wp:effectExtent t="0" r="0" b="0" l="0"/>
            <wp:docPr id="1" name="SS01 - Surveys Components.PNG" descr="Survey Components screen" title="SS01 - Surveys Compone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Survey Components screen (SU204003) with the new rich text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24"/>
              <w:bottom w:val="single" w:color="2E75B6" w:sz="6"/>
              <w:right w:val="single" w:color="2E75B6" w:sz="6"/>
            </w:tcBorders>
            <w:shd w:fill="E7F1FB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5B6"/>
              </w:rPr>
              <w:t xml:space="preserve">Note: </w:t>
            </w:r>
            <w:r>
              <w:t xml:space="preserve">The Body field now uses a WYSIWYG rich text editor with a built-in Visual / HTML / Plain Text mode switch. Toggle to HTML mode when you need to edit the raw Scriban tags such as {{survey.title}} or {{page.next_label}}.</w:t>
            </w:r>
          </w:p>
        </w:tc>
      </w:tr>
    </w:tbl>
    <w:p>
      <w:pPr>
        <w:pStyle w:val="Heading2"/>
      </w:pPr>
      <w:r>
        <w:t xml:space="preserve">3.3 Attributes used as questions</w:t>
      </w:r>
    </w:p>
    <w:p>
      <w:pPr>
        <w:spacing w:after="160"/>
        <w:jc w:val="left"/>
      </w:pPr>
      <w:r>
        <w:t xml:space="preserve">Each question in a survey is backed by an Acumatica Attribute (CSAttribute). Because attributes are standard Acumatica objects, you can reuse them across surveys and even against other entities (Cases, Contacts, …).</w:t>
      </w:r>
    </w:p>
    <w:p>
      <w:pPr>
        <w:spacing w:after="200"/>
        <w:jc w:val="center"/>
      </w:pPr>
      <w:r>
        <w:drawing>
          <wp:inline distT="0" distB="0" distL="0" distR="0">
            <wp:extent cx="5143500" cy="2828925"/>
            <wp:effectExtent t="0" r="0" b="0" l="0"/>
            <wp:docPr id="1" name="SS5-CreateAttributesQuestions.PNG" descr="Define an attribute" title="SS5-CreateAttributesQues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Defining an attribute that will serve as a survey question</w:t>
      </w:r>
    </w:p>
    <w:p>
      <w:pPr>
        <w:spacing w:after="200"/>
        <w:jc w:val="center"/>
      </w:pPr>
      <w:r>
        <w:drawing>
          <wp:inline distT="0" distB="0" distL="0" distR="0">
            <wp:extent cx="5143500" cy="2828925"/>
            <wp:effectExtent t="0" r="0" b="0" l="0"/>
            <wp:docPr id="1" name="SS5-CreateAttributesQuestions2.PNG" descr="Attribute values" title="SS5-CreateAttributesQuestion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Adding possible answers to an attribute</w:t>
      </w:r>
    </w:p>
    <w:p>
      <w:pPr>
        <w:pStyle w:val="Heading1"/>
        <w:pageBreakBefore/>
      </w:pPr>
      <w:r>
        <w:t xml:space="preserve">4. Creating a Survey</w:t>
      </w:r>
    </w:p>
    <w:p>
      <w:pPr>
        <w:pStyle w:val="Heading2"/>
      </w:pPr>
      <w:r>
        <w:t xml:space="preserve">4.1 Compose the survey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Surveys (SU201000). Click + to start a new survey.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Give it a Title, set the Target (Internal / External / Mobile) and Layout.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Pick a Template (default one comes from Survey Preferences).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the Details tab, add the sequence of components (header, questions, comments, footers). Each row has a Component Type and a Component ID.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question rows, pick an Attribute — its predefined values will be rendered as radio buttons or a drop-down.</w:t>
      </w:r>
    </w:p>
    <w:p>
      <w:pPr>
        <w:spacing w:after="160"/>
        <w:jc w:val="left"/>
      </w:pPr>
      <w:r>
        <w:t xml:space="preserve"> </w:t>
      </w:r>
    </w:p>
    <w:p>
      <w:pPr>
        <w:spacing w:after="200"/>
        <w:jc w:val="center"/>
      </w:pPr>
      <w:r>
        <w:drawing>
          <wp:inline distT="0" distB="0" distL="0" distR="0">
            <wp:extent cx="5143500" cy="2828925"/>
            <wp:effectExtent t="0" r="0" b="0" l="0"/>
            <wp:docPr id="1" name="DemoSurveyCreate-S01.PNG" descr="Demo survey being composed" title="DemoSurveyCreate-S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Composing a survey from reusable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24"/>
              <w:bottom w:val="single" w:color="2E7D32" w:sz="6"/>
              <w:right w:val="single" w:color="2E7D32" w:sz="6"/>
            </w:tcBorders>
            <w:shd w:fill="E8F5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D32"/>
              </w:rPr>
              <w:t xml:space="preserve">Tip: </w:t>
            </w:r>
            <w:r>
              <w:t xml:space="preserve">On Survey Preferences there is a Create Demo Survey button. It generates a ready-made satisfaction survey you can use as a reference or a starting point.</w:t>
            </w:r>
          </w:p>
        </w:tc>
      </w:tr>
    </w:tbl>
    <w:p>
      <w:pPr>
        <w:pStyle w:val="Heading2"/>
      </w:pPr>
      <w:r>
        <w:t xml:space="preserve">4.2 Preview the survey</w:t>
      </w:r>
    </w:p>
    <w:p>
      <w:pPr>
        <w:spacing w:after="160"/>
        <w:jc w:val="left"/>
      </w:pPr>
      <w:r>
        <w:t xml:space="preserve">The Surveys toolbar provides a Preview / Generate HTML action that lets you render the whole survey without sending it. Use it to verify that every question displays correctly and that the progress bar advances as expected.</w:t>
      </w:r>
    </w:p>
    <w:p>
      <w:pPr>
        <w:spacing w:after="200"/>
        <w:jc w:val="center"/>
      </w:pPr>
      <w:r>
        <w:drawing>
          <wp:inline distT="0" distB="0" distL="0" distR="0">
            <wp:extent cx="5143500" cy="2828925"/>
            <wp:effectExtent t="0" r="0" b="0" l="0"/>
            <wp:docPr id="1" name="DemoSurveyCreate-S002.PNG" descr="Preview the generated survey" title="DemoSurveyCreate-S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Preview and Generate HTML actions</w:t>
      </w:r>
    </w:p>
    <w:p>
      <w:pPr>
        <w:pStyle w:val="Heading2"/>
      </w:pPr>
      <w:r>
        <w:t xml:space="preserve">4.3 Pick recipients</w:t>
      </w:r>
    </w:p>
    <w:p>
      <w:pPr>
        <w:spacing w:after="160"/>
        <w:jc w:val="left"/>
      </w:pPr>
      <w:r>
        <w:t xml:space="preserve">On the Recipients tab of the Survey screen you can add users or contacts that will receive the survey. For internal surveys, users are linked to Employee records; for external surveys, Contact records are used.</w:t>
      </w:r>
    </w:p>
    <w:p>
      <w:pPr>
        <w:spacing w:after="200"/>
        <w:jc w:val="center"/>
      </w:pPr>
      <w:r>
        <w:drawing>
          <wp:inline distT="0" distB="0" distL="0" distR="0">
            <wp:extent cx="5143500" cy="2828925"/>
            <wp:effectExtent t="0" r="0" b="0" l="0"/>
            <wp:docPr id="1" name="SS5-RecipentsSelect.PNG" descr="Select recipients dialog" title="SS5-RecipentsSel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Selecting recipients</w:t>
      </w:r>
    </w:p>
    <w:p>
      <w:pPr>
        <w:spacing w:after="200"/>
        <w:jc w:val="center"/>
      </w:pPr>
      <w:r>
        <w:drawing>
          <wp:inline distT="0" distB="0" distL="0" distR="0">
            <wp:extent cx="5143500" cy="2828925"/>
            <wp:effectExtent t="0" r="0" b="0" l="0"/>
            <wp:docPr id="1" name="SS5-RecipentsSelect2.PNG" descr="Confirmed recipients" title="SS5-RecipentsSelec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Confirmed list of recipients on the survey</w:t>
      </w:r>
    </w:p>
    <w:p>
      <w:pPr>
        <w:pStyle w:val="Heading1"/>
        <w:pageBreakBefore/>
      </w:pPr>
      <w:r>
        <w:t xml:space="preserve">5. Sending Surveys</w:t>
      </w:r>
    </w:p>
    <w:p>
      <w:pPr>
        <w:pStyle w:val="Heading2"/>
      </w:pPr>
      <w:r>
        <w:t xml:space="preserve">5.1 Start the survey from the Survey screen</w:t>
      </w:r>
    </w:p>
    <w:p>
      <w:pPr>
        <w:spacing w:after="160"/>
        <w:jc w:val="left"/>
      </w:pPr>
      <w:r>
        <w:t xml:space="preserve">The simplest way to send a single survey to its configured recipients is to click the Start Survey action on the Survey (SU201000) screen. Acumatica will: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one SurveyCollector row per recipient, each with a unique token.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the survey status to Active.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 the New Notification email if Email is one of the recipient channels.</w:t>
      </w:r>
    </w:p>
    <w:p>
      <w:pPr>
        <w:spacing w:after="160"/>
        <w:jc w:val="left"/>
      </w:pPr>
      <w:r>
        <w:t xml:space="preserve"> </w:t>
      </w:r>
    </w:p>
    <w:p>
      <w:pPr>
        <w:spacing w:after="200"/>
        <w:jc w:val="center"/>
      </w:pPr>
      <w:r>
        <w:drawing>
          <wp:inline distT="0" distB="0" distL="0" distR="0">
            <wp:extent cx="5143500" cy="2828925"/>
            <wp:effectExtent t="0" r="0" b="0" l="0"/>
            <wp:docPr id="1" name="SS4SurveyTransacationsSurvey.PNG" descr="Start survey from toolbar" title="SS4SurveyTransacationsSurve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Start Survey action on the survey screen</w:t>
      </w:r>
    </w:p>
    <w:p>
      <w:pPr>
        <w:pStyle w:val="Heading2"/>
      </w:pPr>
      <w:r>
        <w:t xml:space="preserve">5.2 Mass operations from Process Surveys (SU501000)</w:t>
      </w:r>
    </w:p>
    <w:p>
      <w:pPr>
        <w:spacing w:after="160"/>
        <w:jc w:val="left"/>
      </w:pPr>
      <w:r>
        <w:t xml:space="preserve">When you need to run a survey against many recipients at once, use Process Surveys. The Action dropdown controls what happens: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New Notification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collectors (if missing) and send the New Notification email.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Reminder Notification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the Reminder Notification email to collectors that are still open.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 Answers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Convert raw payloads in SurveyCollectorData into SurveyAnswer rows for reporting.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 Expired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 collectors older than Expire After as closed.</w:t>
            </w:r>
          </w:p>
        </w:tc>
      </w:tr>
    </w:tbl>
    <w:p>
      <w:pPr>
        <w:spacing w:after="160"/>
        <w:jc w:val="left"/>
      </w:pPr>
      <w:r>
        <w:t xml:space="preserve"> </w:t>
      </w:r>
    </w:p>
    <w:p>
      <w:pPr>
        <w:spacing w:after="200"/>
        <w:jc w:val="center"/>
      </w:pPr>
      <w:r>
        <w:drawing>
          <wp:inline distT="0" distB="0" distL="0" distR="0">
            <wp:extent cx="5143500" cy="2828925"/>
            <wp:effectExtent t="0" r="0" b="0" l="0"/>
            <wp:docPr id="1" name="SS5-ProcessSendSurvey.PNG" descr="Process Surveys screen" title="SS5-ProcessSendSurve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The Process Surveys screen (SU501000)</w:t>
      </w:r>
    </w:p>
    <w:p>
      <w:pPr>
        <w:spacing w:after="20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ProcessSurveyActionDropDown-SS02.PNG" descr="Action dropdown" title="ProcessSurveyActionDropDown-SS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Action dropdown on Process Surveys</w:t>
      </w:r>
    </w:p>
    <w:p>
      <w:pPr>
        <w:spacing w:after="20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SS5-SendSurveySend.PNG" descr="Process executed" title="SS5-SendSurveyS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After Process — selected rows have been sent</w:t>
      </w:r>
    </w:p>
    <w:p>
      <w:pPr>
        <w:pStyle w:val="Heading2"/>
      </w:pPr>
      <w:r>
        <w:t xml:space="preserve">5.3 The webhook URL given to the respondent</w:t>
      </w:r>
    </w:p>
    <w:p>
      <w:pPr>
        <w:spacing w:after="160"/>
        <w:jc w:val="left"/>
      </w:pPr>
      <w:r>
        <w:t xml:space="preserve">Each collector carries a token. Emails generated from the notification template contain a personalised URL of the form:</w:t>
      </w:r>
    </w:p>
    <w:p>
      <w:pPr>
        <w:spacing w:after="1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http://&lt;your-host&gt;/&lt;instance&gt;/Webhooks/&lt;tenant&gt;/&lt;survey-webhook-id&gt;?CollectorToken=&lt;token&gt;&amp;PageNbr=1</w:t>
      </w:r>
    </w:p>
    <w:p>
      <w:pPr>
        <w:spacing w:after="160"/>
        <w:jc w:val="left"/>
      </w:pPr>
      <w:r>
        <w:t xml:space="preserve">This URL is served by the Survey webhook (PX.Survey.Ext.WebHook.SurveyWebhookServerHandler). It renders the correct page of the correct survey for the token, and accepts POSTs as the respondent advances from page to page.</w:t>
      </w:r>
    </w:p>
    <w:p>
      <w:pPr>
        <w:pStyle w:val="Heading2"/>
      </w:pPr>
      <w:r>
        <w:t xml:space="preserve">5.4 Scheduling surveys and business events</w:t>
      </w:r>
    </w:p>
    <w:p>
      <w:pPr>
        <w:spacing w:after="160"/>
        <w:jc w:val="left"/>
      </w:pPr>
      <w:r>
        <w:t xml:space="preserve">Two built-in Acumatica mechanisms let you run surveys without any manual action: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Automation Schedules — run Process Surveys on a cron-like schedule.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Events — trigger surveys in response to something happening inside Acumatica (for example, a Case being closed).</w:t>
      </w:r>
    </w:p>
    <w:p>
      <w:pPr>
        <w:spacing w:after="160"/>
        <w:jc w:val="left"/>
      </w:pPr>
      <w:r>
        <w:t xml:space="preserve"> </w:t>
      </w:r>
    </w:p>
    <w:p>
      <w:pPr>
        <w:spacing w:after="20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SS1-AutomationSchedules.PNG" descr="Automation Schedules list" title="SS1-AutomationSchedu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Automation Schedules list</w:t>
      </w:r>
    </w:p>
    <w:p>
      <w:pPr>
        <w:spacing w:after="20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SS1-BusinessEventsSearch.PNG" descr="Business Events" title="SS1-BusinessEvents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Searching for Business Events</w:t>
      </w:r>
    </w:p>
    <w:p>
      <w:pPr>
        <w:pStyle w:val="Heading1"/>
        <w:pageBreakBefore/>
      </w:pPr>
      <w:r>
        <w:t xml:space="preserve">6. Answering a Survey (Recipient View)</w:t>
      </w:r>
    </w:p>
    <w:p>
      <w:pPr>
        <w:spacing w:after="160"/>
        <w:jc w:val="left"/>
      </w:pPr>
      <w:r>
        <w:t xml:space="preserve">Recipients receive an email with the personalised URL. They do not need an Acumatica login when the survey allows anonymous answers. The form works equally well on desktop and mobile:</w:t>
      </w:r>
    </w:p>
    <w:p>
      <w:pPr>
        <w:spacing w:after="200"/>
        <w:jc w:val="center"/>
      </w:pPr>
      <w:r>
        <w:drawing>
          <wp:inline distT="0" distB="0" distL="0" distR="0">
            <wp:extent cx="2857500" cy="1571625"/>
            <wp:effectExtent t="0" r="0" b="0" l="0"/>
            <wp:docPr id="1" name="MobileSS-0.jpeg" descr="Welcome page on mobile" title="MobileSS-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Welcome page on a mobile device</w:t>
      </w:r>
    </w:p>
    <w:p>
      <w:pPr>
        <w:spacing w:after="200"/>
        <w:jc w:val="center"/>
      </w:pPr>
      <w:r>
        <w:drawing>
          <wp:inline distT="0" distB="0" distL="0" distR="0">
            <wp:extent cx="2857500" cy="1571625"/>
            <wp:effectExtent t="0" r="0" b="0" l="0"/>
            <wp:docPr id="1" name="MobileSS-1.jpeg" descr="First question" title="MobileSS-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A radio-button question</w:t>
      </w:r>
    </w:p>
    <w:p>
      <w:pPr>
        <w:spacing w:after="200"/>
        <w:jc w:val="center"/>
      </w:pPr>
      <w:r>
        <w:drawing>
          <wp:inline distT="0" distB="0" distL="0" distR="0">
            <wp:extent cx="2857500" cy="1571625"/>
            <wp:effectExtent t="0" r="0" b="0" l="0"/>
            <wp:docPr id="1" name="MobileSS-2.jpeg" descr="Mid survey" title="MobileSS-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Progress bar and comments</w:t>
      </w:r>
    </w:p>
    <w:p>
      <w:pPr>
        <w:spacing w:after="200"/>
        <w:jc w:val="center"/>
      </w:pPr>
      <w:r>
        <w:drawing>
          <wp:inline distT="0" distB="0" distL="0" distR="0">
            <wp:extent cx="2857500" cy="1571625"/>
            <wp:effectExtent t="0" r="0" b="0" l="0"/>
            <wp:docPr id="1" name="MobileSS-3.png" descr="Thank-you page" title="MobileSS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Thank-you page after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24"/>
              <w:bottom w:val="single" w:color="2E75B6" w:sz="6"/>
              <w:right w:val="single" w:color="2E75B6" w:sz="6"/>
            </w:tcBorders>
            <w:shd w:fill="E7F1FB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5B6"/>
              </w:rPr>
              <w:t xml:space="preserve">Note: </w:t>
            </w:r>
            <w:r>
              <w:t xml:space="preserve">Every page submission is persisted immediately into SurveyCollectorData. Even if the respondent abandons the survey mid-way, the partial answers are retained and can be reviewed later.</w:t>
            </w:r>
          </w:p>
        </w:tc>
      </w:tr>
    </w:tbl>
    <w:p>
      <w:pPr>
        <w:pStyle w:val="Heading1"/>
        <w:pageBreakBefore/>
      </w:pPr>
      <w:r>
        <w:t xml:space="preserve">7. Tracking Results</w:t>
      </w:r>
    </w:p>
    <w:p>
      <w:pPr>
        <w:pStyle w:val="Heading2"/>
      </w:pPr>
      <w:r>
        <w:t xml:space="preserve">7.1 Per-collector view (SU301000)</w:t>
      </w:r>
    </w:p>
    <w:p>
      <w:pPr>
        <w:spacing w:after="160"/>
        <w:jc w:val="left"/>
      </w:pPr>
      <w:r>
        <w:t xml:space="preserve">The Survey Collector screen shows one respondent's submission in detail: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Header — token, status, sent-on / expiration dates, identity of the recipient.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Collected Answers tab — the raw payloads captured by the webhook, one row per page submission.</w:t>
      </w:r>
    </w:p>
    <w:p>
      <w:pPr>
        <w:spacing w:after="160"/>
        <w:jc w:val="left"/>
      </w:pPr>
      <w:r>
        <w:t xml:space="preserve"> </w:t>
      </w:r>
    </w:p>
    <w:p>
      <w:pPr>
        <w:spacing w:after="200"/>
        <w:jc w:val="center"/>
      </w:pPr>
      <w:r>
        <w:drawing>
          <wp:inline distT="0" distB="0" distL="0" distR="0">
            <wp:extent cx="5143500" cy="2828925"/>
            <wp:effectExtent t="0" r="0" b="0" l="0"/>
            <wp:docPr id="1" name="Survey-Response-View.PNG" descr="Survey Response view" title="Survey-Response-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Collector (SU301000) showing a respondent's submission</w:t>
      </w:r>
    </w:p>
    <w:p>
      <w:pPr>
        <w:pStyle w:val="Heading2"/>
      </w:pPr>
      <w:r>
        <w:t xml:space="preserve">7.2 Aggregated reporting</w:t>
      </w:r>
    </w:p>
    <w:p>
      <w:pPr>
        <w:spacing w:after="160"/>
        <w:jc w:val="left"/>
      </w:pPr>
      <w:r>
        <w:t xml:space="preserve">The customization ships with a dashboard that rolls up answers across all collectors of a given survey. It is also a good starting point for building your own reports or Generic Inquiries.</w:t>
      </w:r>
    </w:p>
    <w:p>
      <w:pPr>
        <w:spacing w:after="200"/>
        <w:jc w:val="center"/>
      </w:pPr>
      <w:r>
        <w:drawing>
          <wp:inline distT="0" distB="0" distL="0" distR="0">
            <wp:extent cx="5143500" cy="2828925"/>
            <wp:effectExtent t="0" r="0" b="0" l="0"/>
            <wp:docPr id="1" name="Survey-View-Dashboard.PNG" descr="Survey dashboard" title="Survey-View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Aggregated Survey dashboard</w:t>
      </w:r>
    </w:p>
    <w:p>
      <w:pPr>
        <w:spacing w:after="200"/>
        <w:jc w:val="center"/>
      </w:pPr>
      <w:r>
        <w:drawing>
          <wp:inline distT="0" distB="0" distL="0" distR="0">
            <wp:extent cx="5143500" cy="2828925"/>
            <wp:effectExtent t="0" r="0" b="0" l="0"/>
            <wp:docPr id="1" name="DashboardSS-1.PNG" descr="Dashboard detail" title="DashboardS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Dashboard with breakdown of answers</w:t>
      </w:r>
    </w:p>
    <w:p>
      <w:pPr>
        <w:spacing w:after="200"/>
        <w:jc w:val="center"/>
      </w:pPr>
      <w:r>
        <w:drawing>
          <wp:inline distT="0" distB="0" distL="0" distR="0">
            <wp:extent cx="2857500" cy="1571625"/>
            <wp:effectExtent t="0" r="0" b="0" l="0"/>
            <wp:docPr id="1" name="MobileDashboardSS-1.jpg" descr="Dashboard on mobile" title="MobileDashboardSS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Figure: The same dashboard on a mobile device</w:t>
      </w:r>
    </w:p>
    <w:p>
      <w:pPr>
        <w:pStyle w:val="Heading2"/>
      </w:pPr>
      <w:r>
        <w:t xml:space="preserve">7.3 Answer lifecycle</w:t>
      </w:r>
    </w:p>
    <w:p>
      <w:pPr>
        <w:spacing w:after="160"/>
        <w:jc w:val="left"/>
      </w:pPr>
      <w:r>
        <w:t xml:space="preserve">Answers move through the following states: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(P)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submitted but Process Answers has not yet turned the raw payload into SurveyAnswer rows.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Processed (R)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Payload has been parsed; one SurveyAnswer row exists per question on the submitted page.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Closed (C)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Collector reached the thank-you page — no more submissions are accepted.</w:t>
            </w:r>
          </w:p>
        </w:tc>
      </w:tr>
    </w:tbl>
    <w:p>
      <w:pPr>
        <w:spacing w:after="160"/>
        <w:jc w:val="left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24"/>
              <w:bottom w:val="single" w:color="2E7D32" w:sz="6"/>
              <w:right w:val="single" w:color="2E7D32" w:sz="6"/>
            </w:tcBorders>
            <w:shd w:fill="E8F5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D32"/>
              </w:rPr>
              <w:t xml:space="preserve">Tip: </w:t>
            </w:r>
            <w:r>
              <w:t xml:space="preserve">Schedule Process Surveys → Process Answers to run every few minutes. That way dashboards always show results in near real time.</w:t>
            </w:r>
          </w:p>
        </w:tc>
      </w:tr>
    </w:tbl>
    <w:p>
      <w:pPr>
        <w:pStyle w:val="Heading1"/>
        <w:pageBreakBefore/>
      </w:pPr>
      <w: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Likely cause and 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Surveys workspace does not appear after publish.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customization project shows the Screens section empty. Re-import Survey26R1.zip — the package now registers each page as a &lt;Page&gt; entry so the editor's Screens tab is populated.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“Numbering ID is null” when saving a new survey.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Survey Preferences is missing a Numbering Sequence, or the sequence's CompanyMask does not match the current tenant. Open SU101000 and pick a numbering sequence; save.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anonymous survey URL returns HTTP 500.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Anonymous Contact field on Survey Preferences is empty. Assign any existing contact (Employee is fine).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respondent sees a blank page with just Save / Cancel.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 cache — press Ctrl + Shift + R. If it persists after a fresh publish, check D:\Instances\&lt;ver&gt;\&lt;site&gt;\App_Data\TSScreenInfo\&lt;tenant&gt;\SU*.json: the “views” array must not be empty.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Modern UI toolbar buttons look chaotic.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That is the default when many graph actions are public. Use @actionConfig decorators in the screen .ts file to hide or group them.</w:t>
            </w:r>
          </w:p>
        </w:tc>
      </w:tr>
    </w:tbl>
    <w:p>
      <w:pPr>
        <w:pStyle w:val="Heading1"/>
        <w:pageBreakBefore/>
      </w:pPr>
      <w:r>
        <w:t xml:space="preserve">Appendix A. Screen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Screen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Graph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SU101000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PX.Survey.Ext.SurveySetupMaint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SurveySetup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SU201000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PX.Survey.Ext.SurveyMaint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Survey / SurveyDetail / SurveyUser / SurveyCollector / SurveyAnswer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SU204003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PX.Survey.Ext.SurveyComponentMaint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SurveyComponent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SU301000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PX.Survey.Ext.SurveyCollectorMaint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SurveyCollector / SurveyCollectorData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SU501000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PX.Survey.Ext.SurveyProcess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SurveyFilter (filter) / SurveyCollector (documents)</w:t>
            </w:r>
          </w:p>
        </w:tc>
      </w:tr>
    </w:tbl>
    <w:p>
      <w:pPr>
        <w:pStyle w:val="Heading1"/>
        <w:pageBreakBefore/>
      </w:pPr>
      <w:r>
        <w:t xml:space="preserve">Appendix B.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SurveySetup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row per tenant. System-wide defaults.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Survey definitions.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SurveyDetail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Ordered list of components that make up a survey page sequence.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SurveyComponent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Reusable HTML / Scriban fragments.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SurveyUser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Users/Contacts who will receive a given survey (recipients).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SurveyCollector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row per respondent per survey (the 'ballot').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SurveyCollectorData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 payload for each page submission.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SurveyAnswer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Parsed answer — one row per question on a processed page.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SurveySetupEntity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Binds default surveys to an existing Acumatica entity (Case, Contact, …).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Acumatica Surveys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57d1ce73ce732bfeacd6fe9f5dd62a280b5b669.png"/><Relationship Id="rId10" Type="http://schemas.openxmlformats.org/officeDocument/2006/relationships/image" Target="media/5eb98324eacb27730f00877030e280021d2a60dd.png"/><Relationship Id="rId11" Type="http://schemas.openxmlformats.org/officeDocument/2006/relationships/image" Target="media/99c35403f5c0242b2c42a10738d30d6350bad2ad.png"/><Relationship Id="rId12" Type="http://schemas.openxmlformats.org/officeDocument/2006/relationships/image" Target="media/a5fd6a3efe787bc12a7450300508f06642724823.png"/><Relationship Id="rId13" Type="http://schemas.openxmlformats.org/officeDocument/2006/relationships/image" Target="media/5cd50e602819d2960cd1a25287d3492b3a43b1a4.png"/><Relationship Id="rId14" Type="http://schemas.openxmlformats.org/officeDocument/2006/relationships/image" Target="media/b31a29f54682d4e67b61e7683ccb6aab94fdb859.png"/><Relationship Id="rId15" Type="http://schemas.openxmlformats.org/officeDocument/2006/relationships/image" Target="media/5d61aeefddb94bd54c04f3bee44ecf77d74f8bbf.png"/><Relationship Id="rId16" Type="http://schemas.openxmlformats.org/officeDocument/2006/relationships/image" Target="media/ec979d573c8d12987a7fdd3d7dda274c045d5f77.png"/><Relationship Id="rId17" Type="http://schemas.openxmlformats.org/officeDocument/2006/relationships/image" Target="media/c15e37d81f3b937e2d3eca0ac340054f58775d74.png"/><Relationship Id="rId18" Type="http://schemas.openxmlformats.org/officeDocument/2006/relationships/image" Target="media/6731919c71f0834543c1dc28c0f4a3c7b60d74d6.png"/><Relationship Id="rId19" Type="http://schemas.openxmlformats.org/officeDocument/2006/relationships/image" Target="media/5eb5830b5be5a07d893e0eaaadfe665aafc23d12.png"/><Relationship Id="rId20" Type="http://schemas.openxmlformats.org/officeDocument/2006/relationships/image" Target="media/d6d4522580f115402f9eecd662c60514b40cc462.png"/><Relationship Id="rId21" Type="http://schemas.openxmlformats.org/officeDocument/2006/relationships/image" Target="media/eb2238147e2e5afe985cef4e93fae819a8a716e8.png"/><Relationship Id="rId22" Type="http://schemas.openxmlformats.org/officeDocument/2006/relationships/image" Target="media/c4cd6591ba0a090bbef8a0d7b0ab5bc6a4aa4ce3.png"/><Relationship Id="rId23" Type="http://schemas.openxmlformats.org/officeDocument/2006/relationships/image" Target="media/f64c3a9e8fc883dd6cd1a3ab080a2ccf5f27d305.png"/><Relationship Id="rId24" Type="http://schemas.openxmlformats.org/officeDocument/2006/relationships/image" Target="media/a0909e6ace45bf991a1892db4776857540b2d6e1.png"/><Relationship Id="rId25" Type="http://schemas.openxmlformats.org/officeDocument/2006/relationships/image" Target="media/6c22d2be29feeb7da305e5abe618178fcb713d5a.png"/><Relationship Id="rId26" Type="http://schemas.openxmlformats.org/officeDocument/2006/relationships/image" Target="media/366dcfdd6993fddf1a26c563e3d3b175a469e77b.png"/><Relationship Id="rId27" Type="http://schemas.openxmlformats.org/officeDocument/2006/relationships/image" Target="media/9b651c691941817453188ec9e7c5e1283c93e5de.jpg"/><Relationship Id="rId28" Type="http://schemas.openxmlformats.org/officeDocument/2006/relationships/image" Target="media/3f84da8944f674d84bc283053bf7b951725b5c9f.jpg"/><Relationship Id="rId29" Type="http://schemas.openxmlformats.org/officeDocument/2006/relationships/image" Target="media/28098642338d3b4c7ce0267ed9cb0cd947cd2d70.jpg"/><Relationship Id="rId30" Type="http://schemas.openxmlformats.org/officeDocument/2006/relationships/image" Target="media/cc4309355431a7f850376b551acd6bdb84fa256e.png"/><Relationship Id="rId31" Type="http://schemas.openxmlformats.org/officeDocument/2006/relationships/image" Target="media/cae5799299a0653d8f62e05c2979e5f86037666c.png"/><Relationship Id="rId32" Type="http://schemas.openxmlformats.org/officeDocument/2006/relationships/image" Target="media/70fc1b23717534ac533cec75826493dc44f5948c.png"/><Relationship Id="rId33" Type="http://schemas.openxmlformats.org/officeDocument/2006/relationships/image" Target="media/001bc980aaf0fb18706819999fbafdd7805d4c98.jp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Acumatica Surveys — User Guide</dc:title>
  <dc:creator>Acumatica Surveys Team</dc:creator>
  <dc:description>Configure, send and track surveys with the PX.Survey.Ext customization.</dc:description>
  <cp:lastModifiedBy>Un-named</cp:lastModifiedBy>
  <cp:revision>1</cp:revision>
  <dcterms:created xsi:type="dcterms:W3CDTF">2026-04-17T09:55:22.069Z</dcterms:created>
  <dcterms:modified xsi:type="dcterms:W3CDTF">2026-04-17T09:55:22.073Z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