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Energy Demand Forecasting + RL Load Scheduling</w:t>
      </w:r>
    </w:p>
    <w:p>
      <w:pPr>
        <w:spacing w:before="0" w:after="30"/>
        <w:jc w:val="center"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Week 2 Checkpoint Report</w:t>
      </w:r>
    </w:p>
    <w:p>
      <w:pPr>
        <w:spacing w:before="0" w:after="100"/>
        <w:jc w:val="center"/>
      </w:pPr>
      <w:r>
        <w:rPr>
          <w:rFonts w:ascii="Times New Roman" w:hAnsi="Times New Roman" w:eastAsia="Times New Roman" w:cs="Times New Roman"/>
          <w:color w:val="555555"/>
          <w:sz w:val="17"/>
          <w:szCs w:val="17"/>
        </w:rPr>
        <w:t xml:space="preserve">Holy Angel University  |  6INTELSY  |  AY 2025–2026  |  March 2026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Euan Roie Nicolas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Holy Angel University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#1 Holy Angel Avenue, Sto. Rosario, Angeles City, 2009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Pampanga, Philippines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+63 956 832 1369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yuro.roie@gmail.com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Jan Nolasco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Holy Angel University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#1 Holy Angel Avenue, Sto. Rosario, Angeles City, 2009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Pampanga, Philippines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+63 962 829 0338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jannolasco05@gmail.com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Jeremiah Carbungco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Holy Angel University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#1 Holy Angel Avenue, Sto. Rosario, Angeles City, 2009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Pampanga, Philippines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+63 969 646 2760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jeremiah.carbungco29@gmail.com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Jared Gabriel Vitero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Holy Angel University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#1 Holy Angel Avenue, Sto. Rosario, Angeles City, 2009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Pampanga, Philippines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+63 956 507 7873</w:t>
            </w:r>
          </w:p>
          <w:p>
            <w:pPr>
              <w:spacing w:before="0" w:after="10"/>
              <w:jc w:val="center"/>
            </w:pPr>
            <w:r>
              <w:rPr>
                <w:rFonts w:ascii="Times New Roman" w:hAnsi="Times New Roman" w:eastAsia="Times New Roman" w:cs="Times New Roman"/>
                <w:color w:val="333333"/>
                <w:sz w:val="16"/>
                <w:szCs w:val="16"/>
              </w:rPr>
              <w:t xml:space="preserve">jaredvitero@gmail.com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412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</w:tcPr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1. PROJECT OVERVIEW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Short-term electricity demand forecasting and intelligent load scheduling using the UCI Individual Household Electric Power Consumption dataset. Combines ML baselines, LSTM/TCN deep learning, NLP, and Q-Learning RL to minimize proxy electricity costs by deferring loads to off-peak hours. Offline academic simulation only.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2. DATA ACQUISITION, CLEANING &amp; SPLITS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Source: UCI Household Power Consumption (Hébrail &amp; Bérard, 2006). Raw 1-min data resampled to hourly; after cleaning: 34,168 records, zero missing values. Target: Global_active_power (kW). Features: reactive power, voltage, intensity, 3 sub-metering channels, cyclic time encodings (12 total). 24-step sliding window, horizon = 1.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Strictly temporal splits (no leakage): Train 27,310 (80%) / Val 3,393 (10%) / Test 3,393 (10%).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3. EXPLORATORY DATA ANALYSIS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EDA in notebooks/01_eda.ipynb. Key findings: right-skewed demand (mean 1.09 kW, max 6.56 kW); morning (7–9h) and evening (18–21h) peaks; Sub_metering_3 (water heater/climate) is dominant sub-load.</w:t>
            </w:r>
          </w:p>
          <w:p>
            <w:pPr>
              <w:spacing w:before="40" w:after="10"/>
              <w:jc w:val="center"/>
            </w:pPr>
            <w:r>
              <w:drawing>
                <wp:inline distT="0" distB="0" distL="0" distR="0">
                  <wp:extent cx="28575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" w:after="40"/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555555"/>
                <w:sz w:val="16"/>
                <w:szCs w:val="16"/>
              </w:rPr>
              <w:t xml:space="preserve">Figure 1. Time series sample, distribution, and avg demand by hour.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4. BASELINE MODELS — INITIAL METRICS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Flattened 24×12 window (288-dim input). LR = lower bound; RF (100 trees, depth=10) = best non-DL baseline. Val MAE: LR=0.4022, RF=0.3569. RF outperforms LR by 11.3% on validation.</w:t>
            </w:r>
          </w:p>
          <w:p>
            <w:pPr>
              <w:spacing w:before="40" w:after="10"/>
              <w:jc w:val="center"/>
            </w:pPr>
            <w:r>
              <w:drawing>
                <wp:inline distT="0" distB="0" distL="0" distR="0">
                  <wp:extent cx="2857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" w:after="40"/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555555"/>
                <w:sz w:val="16"/>
                <w:szCs w:val="16"/>
              </w:rPr>
              <w:t xml:space="preserve">Figure 2. LR and RF predictions vs. actual (first 500 test hours).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5. DEEP LEARNING — LSTM &amp; TCN (CNN)</w:t>
            </w:r>
          </w:p>
          <w:p>
            <w:pPr>
              <w:spacing w:before="60" w:after="30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8"/>
                <w:szCs w:val="18"/>
              </w:rPr>
              <w:t xml:space="preserve">5.1 LSTM Baseline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Single-layer LSTM (hidden=32, 10,401 params). Best epoch 11/16. Test MAE = 0.3234.</w:t>
            </w:r>
          </w:p>
          <w:p>
            <w:pPr>
              <w:spacing w:before="60" w:after="30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8"/>
                <w:szCs w:val="18"/>
              </w:rPr>
              <w:t xml:space="preserve">5.2 LSTM Full Encoder-Decoder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2-layer encoder (hidden=64, dropout=0.2, 70,465 params) + 1-layer decoder. Best epoch 24/29. Test MAE = 0.3153 — best overall result.</w:t>
            </w:r>
          </w:p>
          <w:p>
            <w:pPr>
              <w:spacing w:before="60" w:after="30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8"/>
                <w:szCs w:val="18"/>
              </w:rPr>
              <w:t xml:space="preserve">5.3 TCN (CNN Component)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4 residual blocks, dilations 1/2/4/8, kernel=3, channels=64, weight norm (90,241 params). Best epoch 16/21. Test MAE = 0.3225.</w:t>
            </w:r>
          </w:p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050"/>
              <w:gridCol w:w="1050"/>
              <w:gridCol w:w="1000"/>
              <w:gridCol w:w="1560"/>
            </w:tblGrid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Model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Val MAE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Test MAE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Best Ep.</w:t>
                  </w:r>
                </w:p>
              </w:tc>
              <w:tc>
                <w:tcPr>
                  <w:tcW w:type="dxa" w:w="1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Note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Linear Regression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0.4022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0.3875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1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Tabular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Random Forest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0.3569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0.3399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1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Best ML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LSTM Baseline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0.3443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0.3234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ep 11/16</w:t>
                  </w:r>
                </w:p>
              </w:tc>
              <w:tc>
                <w:tcPr>
                  <w:tcW w:type="dxa" w:w="1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Simple DL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LSTM Full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0.3414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0.3153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ep 24/29</w:t>
                  </w:r>
                </w:p>
              </w:tc>
              <w:tc>
                <w:tcPr>
                  <w:tcW w:type="dxa" w:w="1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Primary DL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TCN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0.3406</w:t>
                  </w:r>
                </w:p>
              </w:tc>
              <w:tc>
                <w:tcPr>
                  <w:tcW w:type="dxa" w:w="105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0.3225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ep 16/21</w:t>
                  </w:r>
                </w:p>
              </w:tc>
              <w:tc>
                <w:tcPr>
                  <w:tcW w:type="dxa" w:w="1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CNN</w:t>
                  </w:r>
                </w:p>
              </w:tc>
            </w:tr>
          </w:tbl>
          <w:p>
            <w:pPr>
              <w:spacing w:before="10" w:after="40"/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555555"/>
                <w:sz w:val="16"/>
                <w:szCs w:val="16"/>
              </w:rPr>
              <w:t xml:space="preserve">Table 1. All model metrics from run.py.</w:t>
            </w:r>
          </w:p>
          <w:p>
            <w:pPr>
              <w:spacing w:before="40" w:after="10"/>
              <w:jc w:val="center"/>
            </w:pPr>
            <w:r>
              <w:drawing>
                <wp:inline distT="0" distB="0" distL="0" distR="0">
                  <wp:extent cx="2857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" w:after="40"/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555555"/>
                <w:sz w:val="16"/>
                <w:szCs w:val="16"/>
              </w:rPr>
              <w:t xml:space="preserve">Figure 3. Train/val MAE curves — LSTM Baseline, LSTM Full, TCN.</w:t>
            </w:r>
          </w:p>
        </w:tc>
        <w:tc>
          <w:tcPr>
            <w:tcW w:type="dxa" w:w="5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6. NLP COMPONENT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Two components in src/models/nlp_component.py: (1) ForecastSummarizer — template-based NLG converting (forecast_kwh, hour, rl_action) to plain-language decisions with override option. (2) PeriodClassifier — TF-IDF + Logistic Regression; precision/recall/F1 = 1.00 across all 3 classes (22 training samples).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Example (hour 18, high demand): “Forecast (evening peak, 18:00): 2.10 kWh — demand is high. Decision: Defer washing machine. You may override this decision at any time.”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7. REINFORCEMENT LEARNING AGENT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Environment: 24-step episodes. State: [normalized_forecast, hour_sin, hour_cos, load_on]. Actions: defer (0) or run (1). Reward: cost savings vs. always-on baseline minus comfort penalty for skipping must-run hours (7h, 8h, 18–20h). Min 4 run-hours enforced per episode.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Agent: tabular Q-Learning (α=0.10, γ=0.95, ε-decay=0.995), 500 episodes on test-set forecasts. Mean reward rose from −6.415 (ep 1–50) to +2.641 (ep 451–500), confirming effective learning signal.</w:t>
            </w:r>
          </w:p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80"/>
              <w:gridCol w:w="3680"/>
            </w:tblGrid>
            <w:tr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RL Metric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6"/>
                      <w:szCs w:val="16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Agent reward (50 eval eps.)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2.062 ± 2.885</w:t>
                  </w:r>
                </w:p>
              </w:tc>
            </w:tr>
            <w:tr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Baseline reward (always-on)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0.000 ± 0.000</w:t>
                  </w:r>
                </w:p>
              </w:tc>
            </w:tr>
            <w:tr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First 50 eps. mean reward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−6.415</w:t>
                  </w:r>
                </w:p>
              </w:tc>
            </w:tr>
            <w:tr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Last 50 eps. mean reward</w:t>
                  </w:r>
                </w:p>
              </w:tc>
              <w:tc>
                <w:tcPr>
                  <w:tcW w:type="dxa" w:w="36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 xml:space="preserve">+2.641</w:t>
                  </w:r>
                </w:p>
              </w:tc>
            </w:tr>
          </w:tbl>
          <w:p>
            <w:pPr>
              <w:spacing w:before="10" w:after="40"/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555555"/>
                <w:sz w:val="16"/>
                <w:szCs w:val="16"/>
              </w:rPr>
              <w:t xml:space="preserve">Table 2. RL evaluation results (50 eps., deterministic policy).</w:t>
            </w:r>
          </w:p>
          <w:p>
            <w:pPr>
              <w:spacing w:before="40" w:after="10"/>
              <w:jc w:val="center"/>
            </w:pPr>
            <w:r>
              <w:drawing>
                <wp:inline distT="0" distB="0" distL="0" distR="0">
                  <wp:extent cx="2857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" w:after="40"/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555555"/>
                <w:sz w:val="16"/>
                <w:szCs w:val="16"/>
              </w:rPr>
              <w:t xml:space="preserve">Figure 4. RL learning curve. Red dashed = always-on baseline (reward = 0).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8. MODEL CARD &amp; ETHICS STATEMENT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Model Card (docs/model_card.md) documents model details, intended use, dataset, splits, real test metrics, and caveats — now fully updated from TBD to actual values.</w:t>
            </w:r>
          </w:p>
          <w:p>
            <w:pPr>
              <w:spacing w:before="0" w:after="40"/>
              <w:ind w:firstLine="300"/>
              <w:jc w:val="both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Ethics risks and confirmed mitigations: (1) Equity — equity metric added to eval pipeline; (2) User Autonomy — opt-in, override, comfort penalty (−2.0/step) and must-run hours implemented in RL env; (3) Data Privacy — anonymized UCI dataset, no PII stored, raw data excluded from repo via .gitignore.</w:t>
            </w:r>
          </w:p>
          <w:p>
            <w:pPr>
              <w:spacing w:before="100" w:after="4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 xml:space="preserve">9. REPOSITORY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src/data_pipeline.py — loading, cleaning, splits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notebooks/01_eda.ipynb — EDA notebook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src/models/tabular_baseline.py — LR (0.3875) + RF (0.3399)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src/models/lstm_model.py — Baseline (0.3234) + Full (0.3153)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src/models/tcn_model.py — TCN 4-block dilated (0.3225)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src/models/nlp_component.py — classifier (F1=1.00) + summarizer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src/rl_agent.py — Q-Learning, 500 ep, −6.4→+2.6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src/train.py + src/eval.py — training &amp; evaluation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docs/model_card.md + ethics_statement.md ✓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ListParagraph">
    <w:name w:val="List Paragraph"/>
    <w:basedOn w:val="Normal"/>
    <w:qFormat/>
    <w:pPr>
      <w:ind w:left="480" w:hanging="240"/>
    </w:pPr>
    <w:rPr>
      <w:rFonts w:ascii="Times New Roman" w:cs="Times New Roman" w:eastAsia="Times New Roman" w:hAnsi="Times New Roman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b61c8df182c17a8e62595ce7ee545eae82cfd73.png"/><Relationship Id="rId7" Type="http://schemas.openxmlformats.org/officeDocument/2006/relationships/image" Target="media/6ac93695ba4e4c107a6ade2e8ab2d894eab30bde.png"/><Relationship Id="rId8" Type="http://schemas.openxmlformats.org/officeDocument/2006/relationships/image" Target="media/8b6700df2e65caef606ade69841258cda1264abc.png"/><Relationship Id="rId9" Type="http://schemas.openxmlformats.org/officeDocument/2006/relationships/image" Target="media/0c03dc0e25c944e2feb0172578a74b8c3480cded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2026-03-21T14:06:05.272Z</dcterms:created>
  <dcterms:modified xsi:type="dcterms:W3CDTF">2026-03-21T14:06:05.273Z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