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267"/>
        <w:gridCol w:w="4252"/>
      </w:tblGrid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las clases presentes en el diagrama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Personaje,Cerca,Vaquero,Vaca,Juego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los atrisbutos de la clase personaje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Bmps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Posicion_actual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Velocidad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Estado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Metodos de la clase vaca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Calcular_siguiente-destino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 del tipo de relacion entre el Vaquero y el personaje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Herencia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tipo de Relacion entre la Vaca y el Juego 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Composicion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de Acceso del atributo "estado" en la clase personaje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private</w:t>
            </w:r>
          </w:p>
        </w:tc>
      </w:tr>
      <w:tr>
        <w:trPr>
          <w:trHeight w:val="1" w:hRule="atLeast"/>
          <w:jc w:val="left"/>
        </w:trPr>
        <w:tc>
          <w:tcPr>
            <w:tcW w:w="4267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de Acceso del atributo "hermanas" en la clase Vaca</w:t>
            </w:r>
          </w:p>
        </w:tc>
        <w:tc>
          <w:tcPr>
            <w:tcW w:w="4252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