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CONCRETE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Site Prep / Excavation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300.00</w:t>
            </w:r>
          </w:p>
        </w:tc>
        <w:tc>
          <w:tcPr>
            <w:tcW w:type="dxa" w:w="1728"/>
          </w:tcPr>
          <w:p>
            <w:r>
              <w:t>300.00</w:t>
            </w:r>
          </w:p>
        </w:tc>
      </w:tr>
      <w:tr>
        <w:tc>
          <w:tcPr>
            <w:tcW w:type="dxa" w:w="1728"/>
          </w:tcPr>
          <w:p>
            <w:r>
              <w:t>Formwork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</w:tr>
      <w:tr>
        <w:tc>
          <w:tcPr>
            <w:tcW w:type="dxa" w:w="1728"/>
          </w:tcPr>
          <w:p>
            <w:r>
              <w:t>Concrete (per cubic yard)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cy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750.00</w:t>
            </w:r>
          </w:p>
        </w:tc>
      </w:tr>
      <w:tr>
        <w:tc>
          <w:tcPr>
            <w:tcW w:type="dxa" w:w="1728"/>
          </w:tcPr>
          <w:p>
            <w:r>
              <w:t>Finishing / Troweling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400.00</w:t>
            </w:r>
          </w:p>
        </w:tc>
        <w:tc>
          <w:tcPr>
            <w:tcW w:type="dxa" w:w="1728"/>
          </w:tcPr>
          <w:p>
            <w:r>
              <w:t>400.00</w:t>
            </w:r>
          </w:p>
        </w:tc>
      </w:tr>
      <w:tr>
        <w:tc>
          <w:tcPr>
            <w:tcW w:type="dxa" w:w="1728"/>
          </w:tcPr>
          <w:p>
            <w:r>
              <w:t>Labor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  <w:tc>
          <w:tcPr>
            <w:tcW w:type="dxa" w:w="1728"/>
          </w:tcPr>
          <w:p>
            <w:r>
              <w:t>400.00</w:t>
            </w:r>
          </w:p>
        </w:tc>
      </w:tr>
      <w:tr>
        <w:tc>
          <w:tcPr>
            <w:tcW w:type="dxa" w:w="1728"/>
          </w:tcPr>
          <w:p>
            <w:r>
              <w:t>Warranty (2-year workmanship)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$2100.00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$2100.00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$525.00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$1575.00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 All concrete work performed per local code; curing time noted on the invoice.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