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PAINTER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Paint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225.00</w:t>
            </w:r>
          </w:p>
        </w:tc>
      </w:tr>
      <w:tr>
        <w:tc>
          <w:tcPr>
            <w:tcW w:type="dxa" w:w="1728"/>
          </w:tcPr>
          <w:p>
            <w:r>
              <w:t>Primer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70.00</w:t>
            </w:r>
          </w:p>
        </w:tc>
      </w:tr>
      <w:tr>
        <w:tc>
          <w:tcPr>
            <w:tcW w:type="dxa" w:w="1728"/>
          </w:tcPr>
          <w:p>
            <w:r>
              <w:t>Surface Prep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700.00</w:t>
            </w:r>
          </w:p>
        </w:tc>
      </w:tr>
      <w:tr>
        <w:tc>
          <w:tcPr>
            <w:tcW w:type="dxa" w:w="1728"/>
          </w:tcPr>
          <w:p>
            <w:r>
              <w:t>Trim / Cut-in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Warranty (2-year workmanship)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$1345.00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$1345.00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$336.25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$1008.75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painting performed per manufacturer specifications.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