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POWDER COATING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Media Blasting — Strip to Bare Metal (per hour)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170.00</w:t>
            </w:r>
          </w:p>
        </w:tc>
      </w:tr>
      <w:tr>
        <w:tc>
          <w:tcPr>
            <w:tcW w:type="dxa" w:w="1728"/>
          </w:tcPr>
          <w:p>
            <w:r>
              <w:t>Powder Coat Wheels — Standard Color (per wheel)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380.00</w:t>
            </w:r>
          </w:p>
        </w:tc>
      </w:tr>
      <w:tr>
        <w:tc>
          <w:tcPr>
            <w:tcW w:type="dxa" w:w="1728"/>
          </w:tcPr>
          <w:p>
            <w:r>
              <w:t>Batch Run — Large Parts (per sq ft)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sq ft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Masking Threads, Bores &amp; Machined Surfaces (per feature)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48.00</w:t>
            </w:r>
          </w:p>
        </w:tc>
      </w:tr>
      <w:tr>
        <w:tc>
          <w:tcPr>
            <w:tcW w:type="dxa" w:w="1728"/>
          </w:tcPr>
          <w:p>
            <w:r>
              <w:t>Specialty Powder Upcharge — Candy / Metallic / Textured (per part)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140.00</w:t>
            </w:r>
          </w:p>
        </w:tc>
      </w:tr>
      <w:tr>
        <w:tc>
          <w:tcPr>
            <w:tcW w:type="dxa" w:w="1728"/>
          </w:tcPr>
          <w:p>
            <w:r>
              <w:t>Racking, Hanging &amp; Part Marks (per batch)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</w:tr>
      <w:tr>
        <w:tc>
          <w:tcPr>
            <w:tcW w:type="dxa" w:w="1728"/>
          </w:tcPr>
          <w:p>
            <w:r>
              <w:t>Custom Color Change — Oven Purge &amp; Spray-Out (per change)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$1018.00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$1018.00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$254.50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$763.50</w:t>
            </w:r>
          </w:p>
        </w:tc>
      </w:tr>
    </w:tbl>
    <w:p/>
    <w:p>
      <w:r>
        <w:t>Payment terms: 50% deposit at drop-off (covers media and powder); balance due on pickup. Commercial accounts: Net 14.</w:t>
      </w:r>
    </w:p>
    <w:p>
      <w:r>
        <w:t>Notes: Thank you for your business. Parts cured at 400°F. Avoid solvents and pressure washing for the first week. Touch-up bottles available for small chips — ask at the counter.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environmental agency (powder and solvent rules), contractor board,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