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FREELANCE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Creative Work (hourly)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680.00</w:t>
            </w:r>
          </w:p>
        </w:tc>
      </w:tr>
      <w:tr>
        <w:tc>
          <w:tcPr>
            <w:tcW w:type="dxa" w:w="1728"/>
          </w:tcPr>
          <w:p>
            <w:r>
              <w:t>Project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Revisions (billed hourly)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License / Usage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Expenses (stock, fonts, travel)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$373.75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$1121.25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Usage rights transfer upon full payment.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a CPA or attorney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