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$438.75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based on site conditions and additional work approved on site.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