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Surface Preparation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Interior Paint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3000.00</w:t>
            </w:r>
          </w:p>
        </w:tc>
      </w:tr>
      <w:tr>
        <w:tc>
          <w:tcPr>
            <w:tcW w:type="dxa" w:w="1728"/>
          </w:tcPr>
          <w:p>
            <w:r>
              <w:t>Paint (per gallon)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  <w:tc>
          <w:tcPr>
            <w:tcW w:type="dxa" w:w="1728"/>
          </w:tcPr>
          <w:p>
            <w:r>
              <w:t>720.00</w:t>
            </w:r>
          </w:p>
        </w:tc>
      </w:tr>
      <w:tr>
        <w:tc>
          <w:tcPr>
            <w:tcW w:type="dxa" w:w="1728"/>
          </w:tcPr>
          <w:p>
            <w:r>
              <w:t>Primer (per gallon)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280.00</w:t>
            </w:r>
          </w:p>
        </w:tc>
      </w:tr>
      <w:tr>
        <w:tc>
          <w:tcPr>
            <w:tcW w:type="dxa" w:w="1728"/>
          </w:tcPr>
          <w:p>
            <w:r>
              <w:t>Labor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Supplies (tape, drop cloths, misc.)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$1855.00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$5565.00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 Paint colors and sheens to be confirmed before work begins.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