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FREELANCE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Creative Work (hourly)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680.00</w:t>
            </w:r>
          </w:p>
        </w:tc>
      </w:tr>
      <w:tr>
        <w:tc>
          <w:tcPr>
            <w:tcW w:type="dxa" w:w="1728"/>
          </w:tcPr>
          <w:p>
            <w:r>
              <w:t>Project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</w:tr>
      <w:tr>
        <w:tc>
          <w:tcPr>
            <w:tcW w:type="dxa" w:w="1728"/>
          </w:tcPr>
          <w:p>
            <w:r>
              <w:t>Revisions (billed hourly)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License / Usage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Expenses (stock, fonts, travel)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$1495.00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$1495.00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Usage rights transfer upon full payment.</w:t>
      </w:r>
    </w:p>
    <w:p>
      <w:r>
        <w:t>Template for informational purposes only; does not constitute legal, tax, or accounting advice. Requirements vary by state — verify with a CPA or attorney before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