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JUNK REMOVAL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Due on Service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Full Truckload Removal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load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</w:tr>
      <w:tr>
        <w:tc>
          <w:tcPr>
            <w:tcW w:type="dxa" w:w="1728"/>
          </w:tcPr>
          <w:p>
            <w:r>
              <w:t>Half Truckload Removal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load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Furniture Removal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</w:tr>
      <w:tr>
        <w:tc>
          <w:tcPr>
            <w:tcW w:type="dxa" w:w="1728"/>
          </w:tcPr>
          <w:p>
            <w:r>
              <w:t>Appliance Removal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Disposal / Dump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$845.00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$845.00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$211.25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$633.75</w:t>
            </w:r>
          </w:p>
        </w:tc>
      </w:tr>
    </w:tbl>
    <w:p/>
    <w:p>
      <w:r>
        <w:t>Payment terms: Payment due at time of service unless prior credit terms are agreed.</w:t>
      </w:r>
    </w:p>
    <w:p>
      <w:r>
        <w:t>Notes: Thank you for your business. Weight and volume confirmed at pickup; final total reflects actual load.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