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weekly / bi-weekly service billed at the standard visit rate unless add-ons are requested.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