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LANDSCAPING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Crew Labor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65.00</w:t>
            </w:r>
          </w:p>
        </w:tc>
        <w:tc>
          <w:tcPr>
            <w:tcW w:type="dxa" w:w="1728"/>
          </w:tcPr>
          <w:p>
            <w:r>
              <w:t>195.00</w:t>
            </w:r>
          </w:p>
        </w:tc>
      </w:tr>
      <w:tr>
        <w:tc>
          <w:tcPr>
            <w:tcW w:type="dxa" w:w="1728"/>
          </w:tcPr>
          <w:p>
            <w:r>
              <w:t>Mulch (by cu. yd.)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cu yd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135.00</w:t>
            </w:r>
          </w:p>
        </w:tc>
      </w:tr>
      <w:tr>
        <w:tc>
          <w:tcPr>
            <w:tcW w:type="dxa" w:w="1728"/>
          </w:tcPr>
          <w:p>
            <w:r>
              <w:t>Plants / Materials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Equipment Rental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</w:tr>
      <w:tr>
        <w:tc>
          <w:tcPr>
            <w:tcW w:type="dxa" w:w="1728"/>
          </w:tcPr>
          <w:p>
            <w:r>
              <w:t>Recurring Maintenance (monthly)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$685.00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$685.00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$171.25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$513.75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Recurring maintenance billed monthly unless canceled in writing.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