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TAX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Labor (taxable in some states)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340.00</w:t>
            </w:r>
          </w:p>
        </w:tc>
      </w:tr>
      <w:tr>
        <w:tc>
          <w:tcPr>
            <w:tcW w:type="dxa" w:w="1728"/>
          </w:tcPr>
          <w:p>
            <w:r>
              <w:t>Parts &amp; materials (taxable)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Delivery / freight (non-taxable)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trip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</w:tr>
      <w:tr>
        <w:tc>
          <w:tcPr>
            <w:tcW w:type="dxa" w:w="1728"/>
          </w:tcPr>
          <w:p>
            <w:r>
              <w:t>Handling fee (non-taxable)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$515.00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$515.00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$128.75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$386.25</w:t>
            </w:r>
          </w:p>
        </w:tc>
      </w:tr>
    </w:tbl>
    <w:p/>
    <w:p>
      <w:r>
        <w:t>Payment terms: Net 14 — payment due within 14 days of the invoice date. Late fee of 1.5% per month applies after the due date.</w:t>
      </w:r>
    </w:p>
    <w:p>
      <w:r>
        <w:t>Notes: Thank you for your business. This invoice shows sales tax as a separate line — keep a copy for your tax records.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Sales tax rules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