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PAINTER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Paint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gal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225.00</w:t>
            </w:r>
          </w:p>
        </w:tc>
      </w:tr>
      <w:tr>
        <w:tc>
          <w:tcPr>
            <w:tcW w:type="dxa" w:w="1728"/>
          </w:tcPr>
          <w:p>
            <w:r>
              <w:t>Primer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gal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70.00</w:t>
            </w:r>
          </w:p>
        </w:tc>
      </w:tr>
      <w:tr>
        <w:tc>
          <w:tcPr>
            <w:tcW w:type="dxa" w:w="1728"/>
          </w:tcPr>
          <w:p>
            <w:r>
              <w:t>Surface Prep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700.00</w:t>
            </w:r>
          </w:p>
        </w:tc>
      </w:tr>
      <w:tr>
        <w:tc>
          <w:tcPr>
            <w:tcW w:type="dxa" w:w="1728"/>
          </w:tcPr>
          <w:p>
            <w:r>
              <w:t>Trim / Cut-in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Warranty (2-year workmanship)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$1345.00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$1345.00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$336.25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$1008.75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painting performed per manufacturer specifications.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