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MOVING COMPANY QUOTE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Quote #: QUOTE-0001    |    Date: 2026-09-29    |    Valid Until: 2026-10-29    |    Payment Terms: Net 14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Crew Labor (2 movers, per hour)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480.00</w:t>
            </w:r>
          </w:p>
        </w:tc>
      </w:tr>
      <w:tr>
        <w:tc>
          <w:tcPr>
            <w:tcW w:type="dxa" w:w="1728"/>
          </w:tcPr>
          <w:p>
            <w:r>
              <w:t>Truck &amp; Fuel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Stairs / Walk-Up Surcharge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</w:tr>
      <w:tr>
        <w:tc>
          <w:tcPr>
            <w:tcW w:type="dxa" w:w="1728"/>
          </w:tcPr>
          <w:p>
            <w:r>
              <w:t>Furniture Wrap &amp; Padding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</w:tr>
      <w:tr>
        <w:tc>
          <w:tcPr>
            <w:tcW w:type="dxa" w:w="1728"/>
          </w:tcPr>
          <w:p>
            <w:r>
              <w:t>Insurance Valuation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</w:tr>
      <w:tr>
        <w:tc>
          <w:tcPr>
            <w:tcW w:type="dxa" w:w="1728"/>
          </w:tcPr>
          <w:p>
            <w:r>
              <w:t>Disassembly / Reassembly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140.00</w:t>
            </w:r>
          </w:p>
        </w:tc>
        <w:tc>
          <w:tcPr>
            <w:tcW w:type="dxa" w:w="1728"/>
          </w:tcPr>
          <w:p>
            <w:r>
              <w:t>140.00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$1145.00</w:t>
            </w:r>
          </w:p>
        </w:tc>
      </w:tr>
      <w:tr>
        <w:tc>
          <w:tcPr>
            <w:tcW w:type="dxa" w:w="1728"/>
          </w:tcPr>
          <w:p>
            <w:r>
              <w:t>DEPOSIT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$286.25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$858.75</w:t>
            </w:r>
          </w:p>
        </w:tc>
      </w:tr>
    </w:tbl>
    <w:p/>
    <w:p>
      <w:r>
        <w:t>Payment terms: Net 14 — payment due within 14 days of acceptance. Deposit reserves your moving date and is refundable up to 7 days before the move.</w:t>
      </w:r>
    </w:p>
    <w:p>
      <w:r>
        <w:t>Notes: Thank you for your business. Quote valid for 30 days. A 25% deposit is due at booking; the balance is due upon completion. Binding vs. non-binding estimates per FMCSA rules.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 quote, not an invoice. Pricing valid for 30 days; final charges may vary.</w:t>
      </w:r>
    </w:p>
    <w:p>
      <w:r>
        <w:t>Template for informational purposes only; does not constitute legal, tax, or accounting advice. Requirements vary by state — verify with your moving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