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SERVICE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call-out (first hour)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</w:tr>
      <w:tr>
        <w:tc>
          <w:tcPr>
            <w:tcW w:type="dxa" w:w="1728"/>
          </w:tcPr>
          <w:p>
            <w:r>
              <w:t>Additional 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225.00</w:t>
            </w:r>
          </w:p>
        </w:tc>
      </w:tr>
      <w:tr>
        <w:tc>
          <w:tcPr>
            <w:tcW w:type="dxa" w:w="1728"/>
          </w:tcPr>
          <w:p>
            <w:r>
              <w:t>Parts &amp; 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Trip / travel charge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trip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$399.00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$399.00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$99.75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$299.25</w:t>
            </w:r>
          </w:p>
        </w:tc>
      </w:tr>
    </w:tbl>
    <w:p/>
    <w:p>
      <w:r>
        <w:t>Payment terms: Net 14 — payment due within 14 days of the invoice date. Late payments accrue 1.5% per month.</w:t>
      </w:r>
    </w:p>
    <w:p>
      <w:r>
        <w:t>Notes: Thank you for your business. Pay by check, bank transfer, or card — details below.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