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FLOORING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Flooring Material (per sq ft)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sf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2500.00</w:t>
            </w:r>
          </w:p>
        </w:tc>
      </w:tr>
      <w:tr>
        <w:tc>
          <w:tcPr>
            <w:tcW w:type="dxa" w:w="1728"/>
          </w:tcPr>
          <w:p>
            <w:r>
              <w:t>Installation Labor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sf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1500.00</w:t>
            </w:r>
          </w:p>
        </w:tc>
      </w:tr>
      <w:tr>
        <w:tc>
          <w:tcPr>
            <w:tcW w:type="dxa" w:w="1728"/>
          </w:tcPr>
          <w:p>
            <w:r>
              <w:t>Old Flooring Removal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</w:tr>
      <w:tr>
        <w:tc>
          <w:tcPr>
            <w:tcW w:type="dxa" w:w="1728"/>
          </w:tcPr>
          <w:p>
            <w:r>
              <w:t>Subfloor Prep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Trim / Transition Pieces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Warranty (1-year installation)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$4450.00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$4450.00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$1112.50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$3337.50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All flooring installed per manufacturer specifications.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