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FREELANCE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Creative Work (hourly)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680.00</w:t>
            </w:r>
          </w:p>
        </w:tc>
      </w:tr>
      <w:tr>
        <w:tc>
          <w:tcPr>
            <w:tcW w:type="dxa" w:w="1728"/>
          </w:tcPr>
          <w:p>
            <w:r>
              <w:t>Project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500.00</w:t>
            </w:r>
          </w:p>
        </w:tc>
        <w:tc>
          <w:tcPr>
            <w:tcW w:type="dxa" w:w="1728"/>
          </w:tcPr>
          <w:p>
            <w:r>
              <w:t>500.00</w:t>
            </w:r>
          </w:p>
        </w:tc>
      </w:tr>
      <w:tr>
        <w:tc>
          <w:tcPr>
            <w:tcW w:type="dxa" w:w="1728"/>
          </w:tcPr>
          <w:p>
            <w:r>
              <w:t>Revisions (billed hourly)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License / Usage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Expenses (stock, fonts, travel)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$1495.00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$1495.00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$373.75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$1121.25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Usage rights transfer upon full payment.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a CPA or attorney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